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29EDF6" w14:textId="36933646" w:rsidR="00F23DD0" w:rsidRPr="00C60881" w:rsidRDefault="006F0729" w:rsidP="00DC19AB">
      <w:pPr>
        <w:rPr>
          <w:rFonts w:ascii="Arial" w:hAnsi="Arial" w:cs="Arial"/>
          <w:sz w:val="18"/>
          <w:szCs w:val="18"/>
        </w:rPr>
      </w:pPr>
      <w:r w:rsidRPr="00C60881">
        <w:rPr>
          <w:rFonts w:ascii="Arial" w:hAnsi="Arial" w:cs="Arial"/>
          <w:noProof/>
          <w:color w:val="000000"/>
          <w:bdr w:val="none" w:sz="0" w:space="0" w:color="auto" w:frame="1"/>
          <w:lang w:val="es-CO" w:eastAsia="es-CO"/>
        </w:rPr>
        <w:drawing>
          <wp:inline distT="0" distB="0" distL="0" distR="0" wp14:anchorId="0CD18971" wp14:editId="768A66B5">
            <wp:extent cx="2714625" cy="914400"/>
            <wp:effectExtent l="0" t="0" r="9525" b="0"/>
            <wp:docPr id="2" name="Imagen 2" descr="https://lh5.googleusercontent.com/mvPFkBcvbQGYmHUOFpk4eGMh2fdHpIT72YX1IbQi-VsByt5E7UbILDZLVzPcA7JgMI4x1c0QH9l9FkFyl1Cb-c96I99aCu90AeytJ25W5r0CrNylHUUdbJd_73rZfRaEDPVj2gNw-gXeUB25D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mvPFkBcvbQGYmHUOFpk4eGMh2fdHpIT72YX1IbQi-VsByt5E7UbILDZLVzPcA7JgMI4x1c0QH9l9FkFyl1Cb-c96I99aCu90AeytJ25W5r0CrNylHUUdbJd_73rZfRaEDPVj2gNw-gXeUB25Dw"/>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14625" cy="914400"/>
                    </a:xfrm>
                    <a:prstGeom prst="rect">
                      <a:avLst/>
                    </a:prstGeom>
                    <a:noFill/>
                    <a:ln>
                      <a:noFill/>
                    </a:ln>
                  </pic:spPr>
                </pic:pic>
              </a:graphicData>
            </a:graphic>
          </wp:inline>
        </w:drawing>
      </w:r>
    </w:p>
    <w:p w14:paraId="629AB7ED" w14:textId="77777777" w:rsidR="00DC19AB" w:rsidRPr="00C60881" w:rsidRDefault="00DC19AB" w:rsidP="0022019F">
      <w:pPr>
        <w:spacing w:line="480" w:lineRule="auto"/>
        <w:rPr>
          <w:rFonts w:ascii="Arial" w:hAnsi="Arial" w:cs="Arial"/>
          <w:sz w:val="18"/>
          <w:szCs w:val="18"/>
          <w:lang w:val="es-ES"/>
        </w:rPr>
      </w:pPr>
    </w:p>
    <w:p w14:paraId="5C8622E9" w14:textId="5C2E761C" w:rsidR="00C00334" w:rsidRPr="00C60881" w:rsidRDefault="00C33B1B" w:rsidP="00C33B1B">
      <w:pPr>
        <w:jc w:val="center"/>
        <w:rPr>
          <w:rFonts w:ascii="Arial" w:eastAsia="Times New Roman" w:hAnsi="Arial" w:cs="Arial"/>
          <w:sz w:val="28"/>
          <w:szCs w:val="28"/>
        </w:rPr>
      </w:pPr>
      <w:r w:rsidRPr="00C60881">
        <w:rPr>
          <w:rFonts w:ascii="Arial" w:eastAsia="Times New Roman" w:hAnsi="Arial" w:cs="Arial"/>
          <w:b/>
          <w:sz w:val="32"/>
          <w:szCs w:val="32"/>
        </w:rPr>
        <w:t>LA ACTUACIÓN DEL PERITO MÉDICO EN LOS RESULTADOS DEL FALLO JUDICIAL EN COLOMBIA DESDE UN ENFOQUE SOCIO JURÍDICO</w:t>
      </w:r>
    </w:p>
    <w:p w14:paraId="20F632F1" w14:textId="77777777" w:rsidR="00C00334" w:rsidRPr="00C60881" w:rsidRDefault="00C00334" w:rsidP="00C00334">
      <w:pPr>
        <w:jc w:val="both"/>
        <w:rPr>
          <w:rFonts w:ascii="Arial" w:eastAsia="Times New Roman" w:hAnsi="Arial" w:cs="Arial"/>
        </w:rPr>
      </w:pPr>
    </w:p>
    <w:p w14:paraId="200D096A" w14:textId="77777777" w:rsidR="00C00334" w:rsidRPr="00C60881" w:rsidRDefault="00C00334" w:rsidP="00C00334">
      <w:pPr>
        <w:jc w:val="both"/>
        <w:rPr>
          <w:rFonts w:ascii="Arial" w:eastAsia="Times New Roman" w:hAnsi="Arial" w:cs="Arial"/>
        </w:rPr>
      </w:pPr>
    </w:p>
    <w:p w14:paraId="2F2EF463" w14:textId="59ED1371" w:rsidR="00C00334" w:rsidRPr="00C60881" w:rsidRDefault="001F29CF" w:rsidP="00C00334">
      <w:pPr>
        <w:jc w:val="center"/>
        <w:rPr>
          <w:rFonts w:ascii="Arial" w:eastAsia="Times New Roman" w:hAnsi="Arial" w:cs="Arial"/>
          <w:b/>
        </w:rPr>
      </w:pPr>
      <w:r w:rsidRPr="00C60881">
        <w:rPr>
          <w:rFonts w:ascii="Arial" w:eastAsia="Times New Roman" w:hAnsi="Arial" w:cs="Arial"/>
          <w:b/>
        </w:rPr>
        <w:t xml:space="preserve">Autores: </w:t>
      </w:r>
    </w:p>
    <w:p w14:paraId="6955F976" w14:textId="77777777" w:rsidR="00C33B1B" w:rsidRPr="00C60881" w:rsidRDefault="00C33B1B" w:rsidP="00C00334">
      <w:pPr>
        <w:jc w:val="center"/>
        <w:rPr>
          <w:rFonts w:ascii="Arial" w:eastAsia="Times New Roman" w:hAnsi="Arial" w:cs="Arial"/>
        </w:rPr>
      </w:pPr>
      <w:r w:rsidRPr="00C60881">
        <w:rPr>
          <w:rFonts w:ascii="Arial" w:eastAsia="Times New Roman" w:hAnsi="Arial" w:cs="Arial"/>
        </w:rPr>
        <w:t xml:space="preserve">EDUARDO JOSÉ DE LA HOZ MERLANO </w:t>
      </w:r>
    </w:p>
    <w:p w14:paraId="7573B001" w14:textId="77777777" w:rsidR="00C33B1B" w:rsidRPr="00C60881" w:rsidRDefault="00C33B1B" w:rsidP="00C00334">
      <w:pPr>
        <w:jc w:val="center"/>
        <w:rPr>
          <w:rFonts w:ascii="Arial" w:eastAsia="Times New Roman" w:hAnsi="Arial" w:cs="Arial"/>
        </w:rPr>
      </w:pPr>
      <w:r w:rsidRPr="00C60881">
        <w:rPr>
          <w:rFonts w:ascii="Arial" w:eastAsia="Times New Roman" w:hAnsi="Arial" w:cs="Arial"/>
        </w:rPr>
        <w:t>JUDITH RUBIELA MORA ORTIZ</w:t>
      </w:r>
    </w:p>
    <w:p w14:paraId="51E85AB8" w14:textId="77777777" w:rsidR="00C33B1B" w:rsidRPr="00C60881" w:rsidRDefault="00C33B1B" w:rsidP="00C00334">
      <w:pPr>
        <w:jc w:val="center"/>
        <w:rPr>
          <w:rFonts w:ascii="Arial" w:eastAsia="Times New Roman" w:hAnsi="Arial" w:cs="Arial"/>
        </w:rPr>
      </w:pPr>
      <w:r w:rsidRPr="00C60881">
        <w:rPr>
          <w:rFonts w:ascii="Arial" w:eastAsia="Times New Roman" w:hAnsi="Arial" w:cs="Arial"/>
        </w:rPr>
        <w:t xml:space="preserve"> GRECIA LIZETH PÉREZ OBREDOR </w:t>
      </w:r>
    </w:p>
    <w:p w14:paraId="150F94CF" w14:textId="72340D1F" w:rsidR="001F29CF" w:rsidRPr="00C60881" w:rsidRDefault="00C33B1B" w:rsidP="00C00334">
      <w:pPr>
        <w:jc w:val="center"/>
        <w:rPr>
          <w:rFonts w:ascii="Arial" w:eastAsia="Times New Roman" w:hAnsi="Arial" w:cs="Arial"/>
        </w:rPr>
      </w:pPr>
      <w:r w:rsidRPr="00C60881">
        <w:rPr>
          <w:rFonts w:ascii="Arial" w:eastAsia="Times New Roman" w:hAnsi="Arial" w:cs="Arial"/>
        </w:rPr>
        <w:t>PAOLA ANDREA SÁNCHEZ GÓMEZ</w:t>
      </w:r>
    </w:p>
    <w:p w14:paraId="2D5680FA" w14:textId="77777777" w:rsidR="00C33B1B" w:rsidRPr="00C60881" w:rsidRDefault="00C33B1B" w:rsidP="00C00334">
      <w:pPr>
        <w:jc w:val="center"/>
        <w:rPr>
          <w:rFonts w:ascii="Arial" w:eastAsia="Times New Roman" w:hAnsi="Arial" w:cs="Arial"/>
        </w:rPr>
      </w:pPr>
    </w:p>
    <w:p w14:paraId="08EE9743" w14:textId="048DF334" w:rsidR="00C00334" w:rsidRPr="00C60881" w:rsidRDefault="005D2A7A" w:rsidP="00C00334">
      <w:pPr>
        <w:jc w:val="center"/>
        <w:rPr>
          <w:rFonts w:ascii="Arial" w:eastAsia="Times New Roman" w:hAnsi="Arial" w:cs="Arial"/>
        </w:rPr>
      </w:pPr>
      <w:r w:rsidRPr="00C60881">
        <w:rPr>
          <w:rFonts w:ascii="Arial" w:eastAsia="Times New Roman" w:hAnsi="Arial" w:cs="Arial"/>
        </w:rPr>
        <w:t xml:space="preserve">Trabajo de </w:t>
      </w:r>
      <w:r w:rsidR="00845117" w:rsidRPr="00C60881">
        <w:rPr>
          <w:rFonts w:ascii="Arial" w:eastAsia="Times New Roman" w:hAnsi="Arial" w:cs="Arial"/>
        </w:rPr>
        <w:t>Investigación como</w:t>
      </w:r>
      <w:r w:rsidR="00C00334" w:rsidRPr="00C60881">
        <w:rPr>
          <w:rFonts w:ascii="Arial" w:eastAsia="Times New Roman" w:hAnsi="Arial" w:cs="Arial"/>
        </w:rPr>
        <w:t xml:space="preserve"> requisito para optar el título de</w:t>
      </w:r>
      <w:r w:rsidR="00E71E52" w:rsidRPr="00C60881">
        <w:rPr>
          <w:rFonts w:ascii="Arial" w:eastAsia="Times New Roman" w:hAnsi="Arial" w:cs="Arial"/>
        </w:rPr>
        <w:t xml:space="preserve"> </w:t>
      </w:r>
      <w:r w:rsidR="00C33B1B" w:rsidRPr="00C60881">
        <w:rPr>
          <w:rFonts w:ascii="Arial" w:eastAsia="Times New Roman" w:hAnsi="Arial" w:cs="Arial"/>
        </w:rPr>
        <w:t>Abogado</w:t>
      </w:r>
    </w:p>
    <w:p w14:paraId="442DAC86" w14:textId="77777777" w:rsidR="00C00334" w:rsidRPr="00C60881" w:rsidRDefault="00C00334" w:rsidP="00C00334">
      <w:pPr>
        <w:jc w:val="center"/>
        <w:rPr>
          <w:rFonts w:ascii="Arial" w:eastAsia="Times New Roman" w:hAnsi="Arial" w:cs="Arial"/>
        </w:rPr>
      </w:pPr>
    </w:p>
    <w:p w14:paraId="27405996" w14:textId="08AFE119" w:rsidR="00C00334" w:rsidRPr="00C60881" w:rsidRDefault="00C00334" w:rsidP="00C00334">
      <w:pPr>
        <w:jc w:val="center"/>
        <w:rPr>
          <w:rFonts w:ascii="Arial" w:eastAsia="Times New Roman" w:hAnsi="Arial" w:cs="Arial"/>
          <w:b/>
          <w:bCs/>
        </w:rPr>
      </w:pPr>
      <w:r w:rsidRPr="00C60881">
        <w:rPr>
          <w:rFonts w:ascii="Arial" w:eastAsia="Times New Roman" w:hAnsi="Arial" w:cs="Arial"/>
          <w:b/>
          <w:bCs/>
        </w:rPr>
        <w:t>Tutor</w:t>
      </w:r>
      <w:r w:rsidR="001F29CF" w:rsidRPr="00C60881">
        <w:rPr>
          <w:rFonts w:ascii="Arial" w:eastAsia="Times New Roman" w:hAnsi="Arial" w:cs="Arial"/>
          <w:b/>
          <w:bCs/>
        </w:rPr>
        <w:t xml:space="preserve">(es): </w:t>
      </w:r>
    </w:p>
    <w:p w14:paraId="6AB99F37" w14:textId="465CF751" w:rsidR="00C00334" w:rsidRPr="00C60881" w:rsidRDefault="00C33B1B" w:rsidP="00C00334">
      <w:pPr>
        <w:jc w:val="center"/>
        <w:rPr>
          <w:rFonts w:ascii="Arial" w:eastAsia="Times New Roman" w:hAnsi="Arial" w:cs="Arial"/>
          <w:bCs/>
        </w:rPr>
      </w:pPr>
      <w:r w:rsidRPr="00C60881">
        <w:rPr>
          <w:rFonts w:ascii="Arial" w:eastAsia="Times New Roman" w:hAnsi="Arial" w:cs="Arial"/>
          <w:bCs/>
        </w:rPr>
        <w:t>Yudith Liliana Contreras Santander</w:t>
      </w:r>
    </w:p>
    <w:p w14:paraId="6E1DE502" w14:textId="1A604E42" w:rsidR="00E71E52" w:rsidRPr="00C60881" w:rsidRDefault="00E71E52" w:rsidP="00C00334">
      <w:pPr>
        <w:jc w:val="center"/>
        <w:rPr>
          <w:rFonts w:ascii="Arial" w:eastAsia="Times New Roman" w:hAnsi="Arial" w:cs="Arial"/>
          <w:b/>
        </w:rPr>
      </w:pPr>
    </w:p>
    <w:p w14:paraId="0BE76A60" w14:textId="77777777" w:rsidR="00C00334" w:rsidRPr="00C60881" w:rsidRDefault="00C00334" w:rsidP="00C00334">
      <w:pPr>
        <w:jc w:val="center"/>
        <w:rPr>
          <w:rFonts w:ascii="Arial" w:hAnsi="Arial" w:cs="Arial"/>
          <w:b/>
        </w:rPr>
      </w:pPr>
    </w:p>
    <w:p w14:paraId="47E8A709" w14:textId="77777777" w:rsidR="00C00334" w:rsidRPr="00C60881" w:rsidRDefault="00C00334" w:rsidP="00C00334">
      <w:pPr>
        <w:jc w:val="center"/>
        <w:rPr>
          <w:rFonts w:ascii="Arial" w:hAnsi="Arial" w:cs="Arial"/>
          <w:b/>
        </w:rPr>
      </w:pPr>
    </w:p>
    <w:p w14:paraId="435CED05" w14:textId="4329D9DC" w:rsidR="00C00334" w:rsidRPr="00C60881" w:rsidRDefault="00C00334" w:rsidP="00C00334">
      <w:pPr>
        <w:jc w:val="center"/>
        <w:rPr>
          <w:rFonts w:ascii="Arial" w:hAnsi="Arial" w:cs="Arial"/>
          <w:b/>
        </w:rPr>
      </w:pPr>
      <w:r w:rsidRPr="00C60881">
        <w:rPr>
          <w:rFonts w:ascii="Arial" w:hAnsi="Arial" w:cs="Arial"/>
          <w:b/>
        </w:rPr>
        <w:t>RESUMEN</w:t>
      </w:r>
      <w:r w:rsidR="00E71E52" w:rsidRPr="00C60881">
        <w:rPr>
          <w:rFonts w:ascii="Arial" w:hAnsi="Arial" w:cs="Arial"/>
          <w:b/>
        </w:rPr>
        <w:t xml:space="preserve"> </w:t>
      </w:r>
    </w:p>
    <w:p w14:paraId="3797AB1C" w14:textId="77777777" w:rsidR="00C33B1B" w:rsidRPr="00C60881" w:rsidRDefault="00C33B1B" w:rsidP="00C00334">
      <w:pPr>
        <w:jc w:val="center"/>
        <w:rPr>
          <w:rFonts w:ascii="Arial" w:hAnsi="Arial" w:cs="Arial"/>
          <w:b/>
        </w:rPr>
      </w:pPr>
    </w:p>
    <w:p w14:paraId="1B756A84" w14:textId="77777777" w:rsidR="00C33B1B" w:rsidRPr="00C60881" w:rsidRDefault="00C33B1B" w:rsidP="00C33B1B">
      <w:pPr>
        <w:ind w:firstLineChars="180" w:firstLine="432"/>
        <w:jc w:val="both"/>
        <w:rPr>
          <w:rFonts w:ascii="Arial" w:hAnsi="Arial" w:cs="Arial"/>
          <w:lang w:val="es-ES"/>
        </w:rPr>
      </w:pPr>
      <w:r w:rsidRPr="00C60881">
        <w:rPr>
          <w:rFonts w:ascii="Arial" w:hAnsi="Arial" w:cs="Arial"/>
        </w:rPr>
        <w:t>El objetivo general de esta investigación fue estudiar la actuación del perito médico en los resultados del fallo judicial en Colombia, desde un enfoque socio jurídico, considerando que el perito como auxiliar del Juez, emite una opinión de naturaleza técnica, en este caso médica, que puede llegar a tener una relevancia fundamental en la decisión o sentencia</w:t>
      </w:r>
      <w:r w:rsidRPr="00C60881">
        <w:rPr>
          <w:rFonts w:ascii="Arial" w:hAnsi="Arial" w:cs="Arial"/>
          <w:lang w:val="es-ES"/>
        </w:rPr>
        <w:t xml:space="preserve">. Siendo el enfoque socio jurídico el que integra el estudio normativo o dogmático con el análisis conceptual de las investigaciones sociológicas, así como el de las opiniones o percepciones de los mismos peritos, para poder entender en definitiva el funcionamiento efectivo de las instituciones jurídicas. En cuanto al aspecto metodológico, se llevó a cabo un estudio de enfoque cualitativo, bajo la técnica documental, sustentada en la revisión de algunas sentencias donde se observa la relevancia de la actuación del perito médico, y el método hermenéutico para el análisis de las mismas, así como la aplicación de la técnica de la entrevista semiestructurada, para obtener información de primera mano, sobre la percepción del perito médico y su actuación en los estrados judiciales. Los resultados obtenidos permiten demostrar que la opinión técnica de estos profesionales es trascendental en la decisión de los jueces, por </w:t>
      </w:r>
      <w:r w:rsidRPr="00C60881">
        <w:rPr>
          <w:rFonts w:ascii="Arial" w:hAnsi="Arial" w:cs="Arial"/>
          <w:lang w:val="es-ES"/>
        </w:rPr>
        <w:lastRenderedPageBreak/>
        <w:t xml:space="preserve">cuanto sus argumentos son vistos como pruebas, que si bien no introducen hechos nuevos en el debate procesal si pueden cambiar o determinar el rumbo de dicha sentencia, al interpretar los hechos sobre una base científica o de carácter técnico. </w:t>
      </w:r>
    </w:p>
    <w:p w14:paraId="0283FA49" w14:textId="77777777" w:rsidR="00C33B1B" w:rsidRPr="00C60881" w:rsidRDefault="00C33B1B" w:rsidP="00C33B1B">
      <w:pPr>
        <w:spacing w:line="360" w:lineRule="auto"/>
        <w:ind w:hanging="2"/>
        <w:jc w:val="both"/>
        <w:rPr>
          <w:rFonts w:ascii="Arial" w:hAnsi="Arial" w:cs="Arial"/>
        </w:rPr>
      </w:pPr>
      <w:r w:rsidRPr="00C60881">
        <w:rPr>
          <w:rFonts w:ascii="Arial" w:hAnsi="Arial" w:cs="Arial"/>
          <w:b/>
          <w:color w:val="000000"/>
        </w:rPr>
        <w:t>Palabras Claves:</w:t>
      </w:r>
      <w:r w:rsidRPr="00C60881">
        <w:rPr>
          <w:rFonts w:ascii="Arial" w:hAnsi="Arial" w:cs="Arial"/>
          <w:color w:val="000000"/>
        </w:rPr>
        <w:t xml:space="preserve"> </w:t>
      </w:r>
      <w:r w:rsidRPr="00C60881">
        <w:rPr>
          <w:rFonts w:ascii="Arial" w:hAnsi="Arial" w:cs="Arial"/>
        </w:rPr>
        <w:t>Enfoque Socio Jurídico,</w:t>
      </w:r>
      <w:r w:rsidRPr="00C60881">
        <w:rPr>
          <w:rFonts w:ascii="Arial" w:hAnsi="Arial" w:cs="Arial"/>
          <w:b/>
        </w:rPr>
        <w:t xml:space="preserve"> </w:t>
      </w:r>
      <w:r w:rsidRPr="00C60881">
        <w:rPr>
          <w:rFonts w:ascii="Arial" w:hAnsi="Arial" w:cs="Arial"/>
        </w:rPr>
        <w:t>Fallo Judicial,</w:t>
      </w:r>
      <w:r w:rsidRPr="00C60881">
        <w:rPr>
          <w:rFonts w:ascii="Arial" w:hAnsi="Arial" w:cs="Arial"/>
          <w:b/>
        </w:rPr>
        <w:t xml:space="preserve"> </w:t>
      </w:r>
      <w:r w:rsidRPr="00C60881">
        <w:rPr>
          <w:rFonts w:ascii="Arial" w:hAnsi="Arial" w:cs="Arial"/>
        </w:rPr>
        <w:t>Peritaje Médico, Relevancia</w:t>
      </w:r>
    </w:p>
    <w:p w14:paraId="1C257C11" w14:textId="77777777" w:rsidR="00C33B1B" w:rsidRPr="00C60881" w:rsidRDefault="00C33B1B" w:rsidP="00C33B1B">
      <w:pPr>
        <w:ind w:hanging="2"/>
        <w:rPr>
          <w:rFonts w:ascii="Arial" w:hAnsi="Arial" w:cs="Arial"/>
        </w:rPr>
      </w:pPr>
    </w:p>
    <w:p w14:paraId="72675B1A" w14:textId="2C185E35" w:rsidR="00E71E52" w:rsidRPr="00C60881" w:rsidRDefault="00E71E52" w:rsidP="00C00334">
      <w:pPr>
        <w:jc w:val="both"/>
        <w:rPr>
          <w:rFonts w:ascii="Arial" w:hAnsi="Arial" w:cs="Arial"/>
        </w:rPr>
      </w:pPr>
    </w:p>
    <w:p w14:paraId="414BB0D0" w14:textId="77777777" w:rsidR="00C33B1B" w:rsidRPr="00C60881" w:rsidRDefault="00C33B1B" w:rsidP="00C33B1B">
      <w:pPr>
        <w:ind w:hanging="2"/>
        <w:jc w:val="center"/>
        <w:rPr>
          <w:rFonts w:ascii="Arial" w:hAnsi="Arial" w:cs="Arial"/>
          <w:b/>
          <w:lang w:val="en-US"/>
        </w:rPr>
      </w:pPr>
      <w:r w:rsidRPr="00C60881">
        <w:rPr>
          <w:rFonts w:ascii="Arial" w:hAnsi="Arial" w:cs="Arial"/>
          <w:b/>
          <w:lang w:val="en-US"/>
        </w:rPr>
        <w:t xml:space="preserve">RELEVANCE OF THE ACTION OF THE MEDICAL EXPERT IN THE RESULTS OF THE JUDICIAL DECISION IN </w:t>
      </w:r>
      <w:smartTag w:uri="urn:schemas-microsoft-com:office:smarttags" w:element="place">
        <w:smartTag w:uri="urn:schemas-microsoft-com:office:smarttags" w:element="country-region">
          <w:r w:rsidRPr="00C60881">
            <w:rPr>
              <w:rFonts w:ascii="Arial" w:hAnsi="Arial" w:cs="Arial"/>
              <w:b/>
              <w:lang w:val="en-US"/>
            </w:rPr>
            <w:t>COLOMBIA</w:t>
          </w:r>
        </w:smartTag>
      </w:smartTag>
      <w:r w:rsidRPr="00C60881">
        <w:rPr>
          <w:rFonts w:ascii="Arial" w:hAnsi="Arial" w:cs="Arial"/>
          <w:b/>
          <w:lang w:val="en-US"/>
        </w:rPr>
        <w:t xml:space="preserve"> FROM A SOCIOLEGAL APPROACH</w:t>
      </w:r>
    </w:p>
    <w:p w14:paraId="3DE2CFD3" w14:textId="77777777" w:rsidR="00C33B1B" w:rsidRPr="00C60881" w:rsidRDefault="00C33B1B" w:rsidP="00C00334">
      <w:pPr>
        <w:jc w:val="both"/>
        <w:rPr>
          <w:rFonts w:ascii="Arial" w:hAnsi="Arial" w:cs="Arial"/>
        </w:rPr>
      </w:pPr>
    </w:p>
    <w:p w14:paraId="2BF4C5D7" w14:textId="77777777" w:rsidR="00420D10" w:rsidRPr="00C60881" w:rsidRDefault="00420D10" w:rsidP="00C00334">
      <w:pPr>
        <w:jc w:val="both"/>
        <w:rPr>
          <w:rFonts w:ascii="Arial" w:hAnsi="Arial" w:cs="Arial"/>
        </w:rPr>
      </w:pPr>
    </w:p>
    <w:p w14:paraId="021EE84A" w14:textId="4B1AF327" w:rsidR="00E71E52" w:rsidRPr="00C60881" w:rsidRDefault="00E71E52" w:rsidP="00E71E52">
      <w:pPr>
        <w:jc w:val="center"/>
        <w:rPr>
          <w:rFonts w:ascii="Arial" w:hAnsi="Arial" w:cs="Arial"/>
          <w:b/>
          <w:lang w:val="es-ES"/>
        </w:rPr>
      </w:pPr>
      <w:r w:rsidRPr="00C60881">
        <w:rPr>
          <w:rFonts w:ascii="Arial" w:hAnsi="Arial" w:cs="Arial"/>
          <w:b/>
          <w:lang w:val="es-ES"/>
        </w:rPr>
        <w:t>ABSTRACT</w:t>
      </w:r>
      <w:r w:rsidR="00420D10" w:rsidRPr="00C60881">
        <w:rPr>
          <w:rFonts w:ascii="Arial" w:hAnsi="Arial" w:cs="Arial"/>
          <w:b/>
          <w:lang w:val="es-ES"/>
        </w:rPr>
        <w:t xml:space="preserve"> </w:t>
      </w:r>
    </w:p>
    <w:p w14:paraId="0B8BA2AD" w14:textId="63EF03CB" w:rsidR="00AC45C5" w:rsidRPr="00C60881" w:rsidRDefault="00AC45C5" w:rsidP="00C00334">
      <w:pPr>
        <w:jc w:val="center"/>
        <w:rPr>
          <w:rFonts w:ascii="Arial" w:hAnsi="Arial" w:cs="Arial"/>
          <w:b/>
          <w:lang w:val="es-CO"/>
        </w:rPr>
      </w:pPr>
    </w:p>
    <w:p w14:paraId="045DAEE3" w14:textId="77777777" w:rsidR="00C33B1B" w:rsidRPr="00C60881" w:rsidRDefault="00C33B1B" w:rsidP="00C33B1B">
      <w:pPr>
        <w:ind w:firstLineChars="150" w:firstLine="360"/>
        <w:jc w:val="both"/>
        <w:rPr>
          <w:rFonts w:ascii="Arial" w:hAnsi="Arial" w:cs="Arial"/>
          <w:lang w:val="en-US"/>
        </w:rPr>
      </w:pPr>
      <w:r w:rsidRPr="00C60881">
        <w:rPr>
          <w:rFonts w:ascii="Arial" w:hAnsi="Arial" w:cs="Arial"/>
          <w:lang w:val="en"/>
        </w:rPr>
        <w:t xml:space="preserve">  The general objective of this investigation was to study the performance of the medical expert in the results of the judicial decision in Colombia, from a socio-legal perspective, considering that the expert as an assistant to the Judge, issues an opinion of a technical nature, in this case medical, that it can have a fundamental relevance in the decision or sentence. Being the socio-legal approach the one that integrates the normative or dogmatic study with the conceptual analysis of sociological research, as well as that of the opinions or perceptions of the same experts, in order to finally understand the effective functioning of legal institutions. Regarding the methodological aspect, a qualitative approach study was carried out, under the documentary technique, based on the review of some sentences where the relevance of the action of the medical expert is observed, and the hermeneutic method for the analysis of the same, as well as the application of the semi-structured interview technique, to obtain first-hand information, on the perception of the medical expert and his performance in the courtroom. The obtained results allow to demonstrate that the technical opinion of these professionals is transcendental in the decision of the judges, since their arguments are seen as evidence, that although they do not introduce new facts in the procedural debate if they can change or determine the course of said judgment, when interpreting the facts on a scientific or technical basis.</w:t>
      </w:r>
    </w:p>
    <w:p w14:paraId="190ADC69" w14:textId="77777777" w:rsidR="00C33B1B" w:rsidRPr="00C60881" w:rsidRDefault="00C33B1B" w:rsidP="00C33B1B">
      <w:pPr>
        <w:jc w:val="both"/>
        <w:rPr>
          <w:rFonts w:ascii="Arial" w:hAnsi="Arial" w:cs="Arial"/>
          <w:lang w:val="en-US"/>
        </w:rPr>
      </w:pPr>
      <w:r w:rsidRPr="00C60881">
        <w:rPr>
          <w:rFonts w:ascii="Arial" w:hAnsi="Arial" w:cs="Arial"/>
          <w:b/>
          <w:lang w:val="en-US"/>
        </w:rPr>
        <w:t xml:space="preserve">Keys word:  </w:t>
      </w:r>
      <w:r w:rsidRPr="00C60881">
        <w:rPr>
          <w:rFonts w:ascii="Arial" w:hAnsi="Arial" w:cs="Arial"/>
          <w:lang w:val="en-US"/>
        </w:rPr>
        <w:t>Socio Juridical Approach, Judicial Decision, Medical Expertise, Relevance.</w:t>
      </w:r>
    </w:p>
    <w:p w14:paraId="6AF68B52" w14:textId="0F4BC1CD" w:rsidR="00420D10" w:rsidRPr="00C60881" w:rsidRDefault="00420D10" w:rsidP="00420D10">
      <w:pPr>
        <w:jc w:val="both"/>
        <w:rPr>
          <w:rFonts w:ascii="Arial" w:hAnsi="Arial" w:cs="Arial"/>
          <w:b/>
          <w:lang w:val="es-CO"/>
        </w:rPr>
      </w:pPr>
    </w:p>
    <w:p w14:paraId="6856966F" w14:textId="77777777" w:rsidR="00420D10" w:rsidRPr="00C60881" w:rsidRDefault="00420D10" w:rsidP="00420D10">
      <w:pPr>
        <w:jc w:val="both"/>
        <w:rPr>
          <w:rFonts w:ascii="Arial" w:hAnsi="Arial" w:cs="Arial"/>
          <w:b/>
          <w:lang w:val="es-CO"/>
        </w:rPr>
      </w:pPr>
    </w:p>
    <w:p w14:paraId="24B26E07" w14:textId="16C6C473" w:rsidR="00D63F98" w:rsidRPr="00C60881" w:rsidRDefault="005D2A7A" w:rsidP="00C33B1B">
      <w:pPr>
        <w:jc w:val="center"/>
        <w:rPr>
          <w:rFonts w:ascii="Arial" w:hAnsi="Arial" w:cs="Arial"/>
          <w:b/>
          <w:sz w:val="22"/>
          <w:lang w:val="es-CO"/>
        </w:rPr>
      </w:pPr>
      <w:r w:rsidRPr="00C60881">
        <w:rPr>
          <w:rFonts w:ascii="Arial" w:hAnsi="Arial" w:cs="Arial"/>
          <w:b/>
          <w:lang w:val="es-CO"/>
        </w:rPr>
        <w:t xml:space="preserve">REFERENCIAS. </w:t>
      </w:r>
    </w:p>
    <w:p w14:paraId="32E6D981" w14:textId="08C02677" w:rsidR="00D63F98" w:rsidRPr="00C60881" w:rsidRDefault="00D63F98" w:rsidP="00C00334">
      <w:pPr>
        <w:jc w:val="center"/>
        <w:rPr>
          <w:rFonts w:ascii="Arial" w:hAnsi="Arial" w:cs="Arial"/>
          <w:b/>
          <w:lang w:val="es-CO"/>
        </w:rPr>
      </w:pPr>
    </w:p>
    <w:p w14:paraId="1F16A192" w14:textId="77777777" w:rsidR="00C33B1B" w:rsidRPr="00C60881" w:rsidRDefault="00C33B1B" w:rsidP="00C33B1B">
      <w:pPr>
        <w:pStyle w:val="ref"/>
        <w:numPr>
          <w:ilvl w:val="0"/>
          <w:numId w:val="31"/>
        </w:numPr>
        <w:shd w:val="clear" w:color="auto" w:fill="FFFFFF"/>
        <w:jc w:val="both"/>
        <w:rPr>
          <w:rFonts w:ascii="Arial" w:hAnsi="Arial" w:cs="Arial"/>
          <w:lang w:val="es-MX"/>
        </w:rPr>
      </w:pPr>
      <w:r w:rsidRPr="00C60881">
        <w:rPr>
          <w:rFonts w:ascii="Arial" w:hAnsi="Arial" w:cs="Arial"/>
        </w:rPr>
        <w:t xml:space="preserve">Acevedo R, Jorge Fernando, Giraldo G, Cesar Augusto. (2011). Guías de valoración </w:t>
      </w:r>
      <w:r w:rsidRPr="00C60881">
        <w:rPr>
          <w:rFonts w:ascii="Arial" w:hAnsi="Arial" w:cs="Arial"/>
          <w:lang w:val="es-MX"/>
        </w:rPr>
        <w:t xml:space="preserve">del daño corporal. Medellín: Señal </w:t>
      </w:r>
      <w:proofErr w:type="gramStart"/>
      <w:r w:rsidRPr="00C60881">
        <w:rPr>
          <w:rFonts w:ascii="Arial" w:hAnsi="Arial" w:cs="Arial"/>
          <w:lang w:val="es-MX"/>
        </w:rPr>
        <w:t>Editora ;</w:t>
      </w:r>
      <w:proofErr w:type="gramEnd"/>
      <w:r w:rsidRPr="00C60881">
        <w:rPr>
          <w:rFonts w:ascii="Arial" w:hAnsi="Arial" w:cs="Arial"/>
          <w:lang w:val="es-MX"/>
        </w:rPr>
        <w:t xml:space="preserve"> Ces.</w:t>
      </w:r>
    </w:p>
    <w:p w14:paraId="424131CF" w14:textId="77777777" w:rsidR="00C33B1B" w:rsidRPr="00C60881" w:rsidRDefault="00C33B1B" w:rsidP="00C33B1B">
      <w:pPr>
        <w:pStyle w:val="Prrafodelista"/>
        <w:numPr>
          <w:ilvl w:val="0"/>
          <w:numId w:val="31"/>
        </w:numPr>
        <w:spacing w:before="100" w:beforeAutospacing="1" w:after="100" w:afterAutospacing="1"/>
        <w:jc w:val="both"/>
        <w:rPr>
          <w:rFonts w:ascii="Arial" w:hAnsi="Arial" w:cs="Arial"/>
        </w:rPr>
      </w:pPr>
      <w:r w:rsidRPr="00C60881">
        <w:rPr>
          <w:rFonts w:ascii="Arial" w:hAnsi="Arial" w:cs="Arial"/>
        </w:rPr>
        <w:lastRenderedPageBreak/>
        <w:t xml:space="preserve">Benavente </w:t>
      </w:r>
      <w:proofErr w:type="spellStart"/>
      <w:r w:rsidRPr="00C60881">
        <w:rPr>
          <w:rFonts w:ascii="Arial" w:hAnsi="Arial" w:cs="Arial"/>
        </w:rPr>
        <w:t>Chorres</w:t>
      </w:r>
      <w:proofErr w:type="spellEnd"/>
      <w:r w:rsidRPr="00C60881">
        <w:rPr>
          <w:rFonts w:ascii="Arial" w:hAnsi="Arial" w:cs="Arial"/>
        </w:rPr>
        <w:t>, H. (2008). Juicio oral y ejecución de sentencia. Lima: Gaceta Jurídica.</w:t>
      </w:r>
    </w:p>
    <w:p w14:paraId="5A20AEE2" w14:textId="77777777" w:rsidR="00C33B1B" w:rsidRPr="00C60881" w:rsidRDefault="00C33B1B" w:rsidP="00C33B1B">
      <w:pPr>
        <w:pStyle w:val="Prrafodelista"/>
        <w:numPr>
          <w:ilvl w:val="0"/>
          <w:numId w:val="31"/>
        </w:numPr>
        <w:spacing w:before="100" w:beforeAutospacing="1" w:after="100" w:afterAutospacing="1"/>
        <w:jc w:val="both"/>
        <w:rPr>
          <w:rFonts w:ascii="Arial" w:hAnsi="Arial" w:cs="Arial"/>
        </w:rPr>
      </w:pPr>
      <w:r w:rsidRPr="00C60881">
        <w:rPr>
          <w:rFonts w:ascii="Arial" w:hAnsi="Arial" w:cs="Arial"/>
        </w:rPr>
        <w:t xml:space="preserve">Cafferata, Nores José, (1986). La Prueba en el Proceso Penal. Especial referencia a la Ley 23.984. 3era Edición. De Palma. </w:t>
      </w:r>
    </w:p>
    <w:p w14:paraId="32E20864" w14:textId="77777777" w:rsidR="00C33B1B" w:rsidRPr="00C60881" w:rsidRDefault="00C33B1B" w:rsidP="00C33B1B">
      <w:pPr>
        <w:pStyle w:val="ref"/>
        <w:numPr>
          <w:ilvl w:val="0"/>
          <w:numId w:val="31"/>
        </w:numPr>
        <w:shd w:val="clear" w:color="auto" w:fill="FFFFFF"/>
        <w:rPr>
          <w:rFonts w:ascii="Arial" w:hAnsi="Arial" w:cs="Arial"/>
        </w:rPr>
      </w:pPr>
      <w:r w:rsidRPr="00C60881">
        <w:rPr>
          <w:rFonts w:ascii="Arial" w:hAnsi="Arial" w:cs="Arial"/>
        </w:rPr>
        <w:t xml:space="preserve">Calvo García Manuel y </w:t>
      </w:r>
      <w:proofErr w:type="spellStart"/>
      <w:r w:rsidRPr="00C60881">
        <w:rPr>
          <w:rFonts w:ascii="Arial" w:hAnsi="Arial" w:cs="Arial"/>
        </w:rPr>
        <w:t>Picontó</w:t>
      </w:r>
      <w:proofErr w:type="spellEnd"/>
      <w:r w:rsidRPr="00C60881">
        <w:rPr>
          <w:rFonts w:ascii="Arial" w:hAnsi="Arial" w:cs="Arial"/>
        </w:rPr>
        <w:t xml:space="preserve"> Novales Teresa (1998).  Teoría Socio Jurídica del Derecho.</w:t>
      </w:r>
    </w:p>
    <w:p w14:paraId="2468BA93" w14:textId="77777777" w:rsidR="00C33B1B" w:rsidRPr="00C60881" w:rsidRDefault="00C33B1B" w:rsidP="00C33B1B">
      <w:pPr>
        <w:pStyle w:val="ref"/>
        <w:numPr>
          <w:ilvl w:val="0"/>
          <w:numId w:val="31"/>
        </w:numPr>
        <w:shd w:val="clear" w:color="auto" w:fill="FFFFFF"/>
        <w:rPr>
          <w:rFonts w:ascii="Arial" w:hAnsi="Arial" w:cs="Arial"/>
        </w:rPr>
      </w:pPr>
      <w:r w:rsidRPr="00C60881">
        <w:rPr>
          <w:rFonts w:ascii="Arial" w:hAnsi="Arial" w:cs="Arial"/>
        </w:rPr>
        <w:t>Chiovenda, G. (1992). Principios de derecho procesal civil. Tomo II. Madrid: Reas.</w:t>
      </w:r>
    </w:p>
    <w:p w14:paraId="60CA4F80" w14:textId="31E09B9F" w:rsidR="00C33B1B" w:rsidRPr="00C60881" w:rsidRDefault="00C33B1B" w:rsidP="00C33B1B">
      <w:pPr>
        <w:pStyle w:val="ref"/>
        <w:numPr>
          <w:ilvl w:val="0"/>
          <w:numId w:val="31"/>
        </w:numPr>
        <w:shd w:val="clear" w:color="auto" w:fill="FFFFFF"/>
        <w:rPr>
          <w:rFonts w:ascii="Arial" w:hAnsi="Arial" w:cs="Arial"/>
        </w:rPr>
      </w:pPr>
      <w:r w:rsidRPr="00C60881">
        <w:rPr>
          <w:rFonts w:ascii="Arial" w:hAnsi="Arial" w:cs="Arial"/>
        </w:rPr>
        <w:t>Congreso de la Republica de Colombia. Ley 23 /1981 [Internet]. Ley 23 de 1981. Disponible en: http://www.archivogeneral.gov.co/sites/all/themes/nevia/PDF/Transparencia/</w:t>
      </w:r>
    </w:p>
    <w:p w14:paraId="4C58C0E2" w14:textId="77777777" w:rsidR="00C33B1B" w:rsidRPr="00C60881" w:rsidRDefault="00C33B1B" w:rsidP="00C33B1B">
      <w:pPr>
        <w:pStyle w:val="ref"/>
        <w:numPr>
          <w:ilvl w:val="0"/>
          <w:numId w:val="31"/>
        </w:numPr>
        <w:shd w:val="clear" w:color="auto" w:fill="FFFFFF"/>
        <w:rPr>
          <w:rFonts w:ascii="Arial" w:hAnsi="Arial" w:cs="Arial"/>
          <w:lang w:val="es-MX"/>
        </w:rPr>
      </w:pPr>
      <w:r w:rsidRPr="00C60881">
        <w:rPr>
          <w:rFonts w:ascii="Arial" w:hAnsi="Arial" w:cs="Arial"/>
        </w:rPr>
        <w:t xml:space="preserve">Congreso de la Republica de Colombia. Ley 1564/ 2012 [Internet]. 1564 jul 12, 2012. Disponible </w:t>
      </w:r>
      <w:proofErr w:type="gramStart"/>
      <w:r w:rsidRPr="00C60881">
        <w:rPr>
          <w:rFonts w:ascii="Arial" w:hAnsi="Arial" w:cs="Arial"/>
        </w:rPr>
        <w:t>en:</w:t>
      </w:r>
      <w:r w:rsidRPr="00C60881">
        <w:rPr>
          <w:rFonts w:ascii="Arial" w:hAnsi="Arial" w:cs="Arial"/>
          <w:lang w:val="es-MX"/>
        </w:rPr>
        <w:t>http://www.secretariasenado.gov.co/senado/basedoc/ley_1564_2012.html</w:t>
      </w:r>
      <w:proofErr w:type="gramEnd"/>
    </w:p>
    <w:p w14:paraId="03EC80B6" w14:textId="09AE3477" w:rsidR="00C33B1B" w:rsidRPr="00C60881" w:rsidRDefault="00C33B1B" w:rsidP="00C33B1B">
      <w:pPr>
        <w:pStyle w:val="ref"/>
        <w:numPr>
          <w:ilvl w:val="0"/>
          <w:numId w:val="31"/>
        </w:numPr>
        <w:shd w:val="clear" w:color="auto" w:fill="FFFFFF"/>
        <w:rPr>
          <w:rFonts w:ascii="Arial" w:hAnsi="Arial" w:cs="Arial"/>
          <w:lang w:val="es-MX"/>
        </w:rPr>
      </w:pPr>
      <w:r w:rsidRPr="00C60881">
        <w:rPr>
          <w:rFonts w:ascii="Arial" w:hAnsi="Arial" w:cs="Arial"/>
        </w:rPr>
        <w:t xml:space="preserve">Congreso de la Republica de Colombia. Ley 906/ 2004 [Internet]. 906 /2004 de enero, 2005. Disponible en: </w:t>
      </w:r>
      <w:r w:rsidRPr="00C60881">
        <w:rPr>
          <w:rFonts w:ascii="Arial" w:hAnsi="Arial" w:cs="Arial"/>
          <w:lang w:val="es-MX"/>
        </w:rPr>
        <w:t>http://www.alcaldiabogota.gov.co/sisjur/normas/Norma1.jsp?i=14787</w:t>
      </w:r>
    </w:p>
    <w:p w14:paraId="23127B18" w14:textId="77777777" w:rsidR="00C33B1B" w:rsidRPr="00C60881" w:rsidRDefault="00C33B1B" w:rsidP="00C33B1B">
      <w:pPr>
        <w:pStyle w:val="ref"/>
        <w:numPr>
          <w:ilvl w:val="0"/>
          <w:numId w:val="31"/>
        </w:numPr>
        <w:shd w:val="clear" w:color="auto" w:fill="FFFFFF"/>
        <w:rPr>
          <w:rFonts w:ascii="Arial" w:hAnsi="Arial" w:cs="Arial"/>
        </w:rPr>
      </w:pPr>
      <w:r w:rsidRPr="00C60881">
        <w:rPr>
          <w:rFonts w:ascii="Arial" w:hAnsi="Arial" w:cs="Arial"/>
        </w:rPr>
        <w:t xml:space="preserve">Contreras </w:t>
      </w:r>
      <w:proofErr w:type="spellStart"/>
      <w:r w:rsidRPr="00C60881">
        <w:rPr>
          <w:rFonts w:ascii="Arial" w:hAnsi="Arial" w:cs="Arial"/>
        </w:rPr>
        <w:t>Iscalá</w:t>
      </w:r>
      <w:proofErr w:type="spellEnd"/>
      <w:r w:rsidRPr="00C60881">
        <w:rPr>
          <w:rFonts w:ascii="Arial" w:hAnsi="Arial" w:cs="Arial"/>
        </w:rPr>
        <w:t xml:space="preserve"> J., Parada Mendoza W., Rodríguez Sánchez C., (2012). Vulneración de los Derechos de los trabajadores con merma de la Capacidad Laboral. Estudio de Caso. Facultad de Derecho de la Universidad Libre. Cúcuta. Colombia. Revista digital: Hipótesis Libre. Medio de divulgación de los programas de posgrado de la Universidad Libre seccional Cúcuta </w:t>
      </w:r>
      <w:proofErr w:type="gramStart"/>
      <w:r w:rsidRPr="00C60881">
        <w:rPr>
          <w:rFonts w:ascii="Arial" w:hAnsi="Arial" w:cs="Arial"/>
        </w:rPr>
        <w:t>Junio</w:t>
      </w:r>
      <w:proofErr w:type="gramEnd"/>
      <w:r w:rsidRPr="00C60881">
        <w:rPr>
          <w:rFonts w:ascii="Arial" w:hAnsi="Arial" w:cs="Arial"/>
        </w:rPr>
        <w:t xml:space="preserve"> 2012. Año 2. </w:t>
      </w:r>
      <w:proofErr w:type="spellStart"/>
      <w:r w:rsidRPr="00C60881">
        <w:rPr>
          <w:rFonts w:ascii="Arial" w:hAnsi="Arial" w:cs="Arial"/>
        </w:rPr>
        <w:t>Nº</w:t>
      </w:r>
      <w:proofErr w:type="spellEnd"/>
      <w:r w:rsidRPr="00C60881">
        <w:rPr>
          <w:rFonts w:ascii="Arial" w:hAnsi="Arial" w:cs="Arial"/>
        </w:rPr>
        <w:t xml:space="preserve"> 4</w:t>
      </w:r>
    </w:p>
    <w:p w14:paraId="17090B4F" w14:textId="019F9627" w:rsidR="00C33B1B" w:rsidRPr="00C60881" w:rsidRDefault="00C33B1B" w:rsidP="00C33B1B">
      <w:pPr>
        <w:pStyle w:val="ref"/>
        <w:numPr>
          <w:ilvl w:val="0"/>
          <w:numId w:val="31"/>
        </w:numPr>
        <w:shd w:val="clear" w:color="auto" w:fill="FFFFFF"/>
        <w:jc w:val="both"/>
        <w:rPr>
          <w:rFonts w:ascii="Arial" w:hAnsi="Arial" w:cs="Arial"/>
          <w:lang w:val="es-MX"/>
        </w:rPr>
      </w:pPr>
      <w:r w:rsidRPr="00C60881">
        <w:rPr>
          <w:rFonts w:ascii="Arial" w:hAnsi="Arial" w:cs="Arial"/>
        </w:rPr>
        <w:t xml:space="preserve">Corte Constitucional de Colombia. Sentencia C-1008/2010 [Internet]. Magistrado ponente: Dr. Luis Ernesto Vargas. 2010. Disponible en: </w:t>
      </w:r>
      <w:r w:rsidRPr="00C60881">
        <w:rPr>
          <w:rFonts w:ascii="Arial" w:hAnsi="Arial" w:cs="Arial"/>
          <w:lang w:val="es-MX"/>
        </w:rPr>
        <w:t xml:space="preserve">http://www.corteconstitucional.gov.co/relatoria/2010/c-1008-10.htm. Consultado: abril 26 </w:t>
      </w:r>
      <w:proofErr w:type="gramStart"/>
      <w:r w:rsidRPr="00C60881">
        <w:rPr>
          <w:rFonts w:ascii="Arial" w:hAnsi="Arial" w:cs="Arial"/>
          <w:lang w:val="es-MX"/>
        </w:rPr>
        <w:t>de  2020</w:t>
      </w:r>
      <w:proofErr w:type="gramEnd"/>
      <w:r w:rsidRPr="00C60881">
        <w:rPr>
          <w:rFonts w:ascii="Arial" w:hAnsi="Arial" w:cs="Arial"/>
          <w:lang w:val="es-MX"/>
        </w:rPr>
        <w:t xml:space="preserve">. </w:t>
      </w:r>
    </w:p>
    <w:p w14:paraId="51038308" w14:textId="3194E761" w:rsidR="00C33B1B" w:rsidRPr="00C60881" w:rsidRDefault="00C33B1B" w:rsidP="00C33B1B">
      <w:pPr>
        <w:pStyle w:val="ref"/>
        <w:numPr>
          <w:ilvl w:val="0"/>
          <w:numId w:val="31"/>
        </w:numPr>
        <w:shd w:val="clear" w:color="auto" w:fill="FFFFFF"/>
        <w:jc w:val="both"/>
        <w:rPr>
          <w:rFonts w:ascii="Arial" w:hAnsi="Arial" w:cs="Arial"/>
          <w:lang w:val="es-MX"/>
        </w:rPr>
      </w:pPr>
      <w:r w:rsidRPr="00C60881">
        <w:rPr>
          <w:rFonts w:ascii="Arial" w:hAnsi="Arial" w:cs="Arial"/>
        </w:rPr>
        <w:t xml:space="preserve">Corte Constitucional de Colombia. Sentencia C-124/2011 [Internet]. Magistrado ponente Dr. Luis Ernesto Vargas. 2011. Disponible en: </w:t>
      </w:r>
      <w:r w:rsidRPr="00C60881">
        <w:rPr>
          <w:rFonts w:ascii="Arial" w:hAnsi="Arial" w:cs="Arial"/>
          <w:lang w:val="es-MX"/>
        </w:rPr>
        <w:t xml:space="preserve">http://www.corteconstitucional.gov.co/RELATORIA/2011/C-124-11.htm. Consultado: abril 26 </w:t>
      </w:r>
      <w:proofErr w:type="gramStart"/>
      <w:r w:rsidRPr="00C60881">
        <w:rPr>
          <w:rFonts w:ascii="Arial" w:hAnsi="Arial" w:cs="Arial"/>
          <w:lang w:val="es-MX"/>
        </w:rPr>
        <w:t>de  2020</w:t>
      </w:r>
      <w:proofErr w:type="gramEnd"/>
      <w:r w:rsidRPr="00C60881">
        <w:rPr>
          <w:rFonts w:ascii="Arial" w:hAnsi="Arial" w:cs="Arial"/>
          <w:lang w:val="es-MX"/>
        </w:rPr>
        <w:t xml:space="preserve">. </w:t>
      </w:r>
    </w:p>
    <w:p w14:paraId="0EC69FA1" w14:textId="3585FC5A" w:rsidR="00C33B1B" w:rsidRPr="00C60881" w:rsidRDefault="00C33B1B" w:rsidP="00C33B1B">
      <w:pPr>
        <w:pStyle w:val="ref"/>
        <w:numPr>
          <w:ilvl w:val="0"/>
          <w:numId w:val="31"/>
        </w:numPr>
        <w:shd w:val="clear" w:color="auto" w:fill="FFFFFF"/>
        <w:jc w:val="both"/>
        <w:rPr>
          <w:rFonts w:ascii="Arial" w:hAnsi="Arial" w:cs="Arial"/>
          <w:lang w:val="es-MX"/>
        </w:rPr>
      </w:pPr>
      <w:r w:rsidRPr="00C60881">
        <w:rPr>
          <w:rFonts w:ascii="Arial" w:hAnsi="Arial" w:cs="Arial"/>
          <w:lang w:val="es-MX"/>
        </w:rPr>
        <w:t>Corte Suprema de Justicia (2016).SC</w:t>
      </w:r>
      <w:proofErr w:type="gramStart"/>
      <w:r w:rsidRPr="00C60881">
        <w:rPr>
          <w:rFonts w:ascii="Arial" w:hAnsi="Arial" w:cs="Arial"/>
          <w:lang w:val="es-MX"/>
        </w:rPr>
        <w:t>7817.[</w:t>
      </w:r>
      <w:proofErr w:type="gramEnd"/>
      <w:r w:rsidRPr="00C60881">
        <w:rPr>
          <w:rFonts w:ascii="Arial" w:hAnsi="Arial" w:cs="Arial"/>
          <w:lang w:val="es-MX"/>
        </w:rPr>
        <w:t>M.P. Margarita Cabello Blanco]. Recuperado de www.cortesuprema.gov.co/corte/wp.../ci/.../SC7817-2016%20(2005-00301-01).doc</w:t>
      </w:r>
    </w:p>
    <w:p w14:paraId="74E68F2B"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 xml:space="preserve">Duce, Mauricio (2018). “Prueba pericial y su impacto en los errores del sistema de justicia penal: antecedentes comparados y locales para iniciar el debate”, Facultad de Derecho de la Universidad Diego Portales en Santiago de Chile.  </w:t>
      </w:r>
    </w:p>
    <w:p w14:paraId="4C0F60DA"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Falcón, Enrique (2003)</w:t>
      </w:r>
      <w:r w:rsidRPr="00C60881">
        <w:rPr>
          <w:rFonts w:ascii="Arial" w:hAnsi="Arial" w:cs="Arial"/>
          <w:b/>
          <w:bCs/>
        </w:rPr>
        <w:t> </w:t>
      </w:r>
      <w:r w:rsidRPr="00C60881">
        <w:rPr>
          <w:rFonts w:ascii="Arial" w:hAnsi="Arial" w:cs="Arial"/>
          <w:i/>
          <w:iCs/>
        </w:rPr>
        <w:t>Tratado de la prueba, </w:t>
      </w:r>
      <w:r w:rsidRPr="00C60881">
        <w:rPr>
          <w:rFonts w:ascii="Arial" w:hAnsi="Arial" w:cs="Arial"/>
        </w:rPr>
        <w:t>t. 2. Buenos Aires: Astrea.</w:t>
      </w:r>
    </w:p>
    <w:p w14:paraId="05036B55" w14:textId="77777777" w:rsidR="00C33B1B" w:rsidRPr="00C60881" w:rsidRDefault="00C33B1B" w:rsidP="00C33B1B">
      <w:pPr>
        <w:pStyle w:val="ref"/>
        <w:numPr>
          <w:ilvl w:val="0"/>
          <w:numId w:val="31"/>
        </w:numPr>
        <w:shd w:val="clear" w:color="auto" w:fill="FFFFFF"/>
        <w:rPr>
          <w:rFonts w:ascii="Arial" w:hAnsi="Arial" w:cs="Arial"/>
        </w:rPr>
      </w:pPr>
      <w:r w:rsidRPr="00C60881">
        <w:rPr>
          <w:rFonts w:ascii="Arial" w:hAnsi="Arial" w:cs="Arial"/>
        </w:rPr>
        <w:t>Flores Prada, Ignacio (2005) </w:t>
      </w:r>
      <w:r w:rsidRPr="00C60881">
        <w:rPr>
          <w:rFonts w:ascii="Arial" w:hAnsi="Arial" w:cs="Arial"/>
          <w:i/>
          <w:iCs/>
        </w:rPr>
        <w:t>La prueba pericial de parte en el proceso civil, </w:t>
      </w:r>
      <w:r w:rsidRPr="00C60881">
        <w:rPr>
          <w:rFonts w:ascii="Arial" w:hAnsi="Arial" w:cs="Arial"/>
        </w:rPr>
        <w:t xml:space="preserve">Valencia: Tirant lo Blanch. </w:t>
      </w:r>
    </w:p>
    <w:p w14:paraId="6F395113"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lastRenderedPageBreak/>
        <w:t>Gascón, Marina (2013): “Prueba Científica. Un Mapa de Retos”, en: Vásquez, Carmen (ed.), </w:t>
      </w:r>
      <w:r w:rsidRPr="00C60881">
        <w:rPr>
          <w:rStyle w:val="nfasis"/>
          <w:rFonts w:ascii="Arial" w:hAnsi="Arial" w:cs="Arial"/>
        </w:rPr>
        <w:t>Estándares de Prueba y Prueba Científica</w:t>
      </w:r>
      <w:r w:rsidRPr="00C60881">
        <w:rPr>
          <w:rFonts w:ascii="Arial" w:hAnsi="Arial" w:cs="Arial"/>
        </w:rPr>
        <w:t> (Madrid, Marcial Pons).</w:t>
      </w:r>
    </w:p>
    <w:p w14:paraId="04E844C3" w14:textId="4DFDFE3F"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Laborda Calvo E. La Responsabilidad Civil del perito médico [Internet]. aeds.org. [citado 14 de noviembre de 2017]. Disponible en: http://webcache.googleusercontent.com/search?q=cache:nNnWNa5D6hwJ:w ww.aeds.org/congreso/XXIcongreso/docs/DrEugenioLabordaCalvo.doc+&amp;cd= 17&amp;hl=</w:t>
      </w:r>
      <w:proofErr w:type="spellStart"/>
      <w:r w:rsidRPr="00C60881">
        <w:rPr>
          <w:rFonts w:ascii="Arial" w:hAnsi="Arial" w:cs="Arial"/>
        </w:rPr>
        <w:t>es&amp;ct</w:t>
      </w:r>
      <w:proofErr w:type="spellEnd"/>
      <w:r w:rsidRPr="00C60881">
        <w:rPr>
          <w:rFonts w:ascii="Arial" w:hAnsi="Arial" w:cs="Arial"/>
        </w:rPr>
        <w:t>=</w:t>
      </w:r>
      <w:proofErr w:type="spellStart"/>
      <w:r w:rsidRPr="00C60881">
        <w:rPr>
          <w:rFonts w:ascii="Arial" w:hAnsi="Arial" w:cs="Arial"/>
        </w:rPr>
        <w:t>clnk&amp;gl</w:t>
      </w:r>
      <w:proofErr w:type="spellEnd"/>
      <w:r w:rsidRPr="00C60881">
        <w:rPr>
          <w:rFonts w:ascii="Arial" w:hAnsi="Arial" w:cs="Arial"/>
        </w:rPr>
        <w:t>=</w:t>
      </w:r>
      <w:proofErr w:type="spellStart"/>
      <w:r w:rsidRPr="00C60881">
        <w:rPr>
          <w:rFonts w:ascii="Arial" w:hAnsi="Arial" w:cs="Arial"/>
        </w:rPr>
        <w:t>co</w:t>
      </w:r>
      <w:proofErr w:type="spellEnd"/>
      <w:r w:rsidRPr="00C60881">
        <w:rPr>
          <w:rFonts w:ascii="Arial" w:hAnsi="Arial" w:cs="Arial"/>
        </w:rPr>
        <w:t xml:space="preserve">. Consultado: abril 29 </w:t>
      </w:r>
      <w:proofErr w:type="gramStart"/>
      <w:r w:rsidRPr="00C60881">
        <w:rPr>
          <w:rFonts w:ascii="Arial" w:hAnsi="Arial" w:cs="Arial"/>
        </w:rPr>
        <w:t>de  2020</w:t>
      </w:r>
      <w:proofErr w:type="gramEnd"/>
      <w:r w:rsidRPr="00C60881">
        <w:rPr>
          <w:rFonts w:ascii="Arial" w:hAnsi="Arial" w:cs="Arial"/>
        </w:rPr>
        <w:t xml:space="preserve">. </w:t>
      </w:r>
    </w:p>
    <w:p w14:paraId="5DA28DE2" w14:textId="0754DD09"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 xml:space="preserve">Mendoza y De León (2013). Las Pruebas. Extracto del libro “Los Principios, los actos y las pruebas”. Programa Básico de Formación para Auditores y Abogados de la CGR. Módulo 03: Pruebas. COFAE. Disponible en: www.oas/juridico/PFDs/mesicic4_ven_des_cont.pdf. Consultado: mayo y junio de 2020. </w:t>
      </w:r>
    </w:p>
    <w:p w14:paraId="4029F4E9"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 xml:space="preserve">Miranda, Vázquez, Carlos. (2017). Las excepciones materiales en el proceso civil. Ediciones Tálamo. Chile. </w:t>
      </w:r>
    </w:p>
    <w:p w14:paraId="24A5785F"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 xml:space="preserve">Parra, J. (2011). Manual de derecho probatorio. Bogotá, Colombia. Librería ediciones </w:t>
      </w:r>
      <w:proofErr w:type="gramStart"/>
      <w:r w:rsidRPr="00C60881">
        <w:rPr>
          <w:rFonts w:ascii="Arial" w:hAnsi="Arial" w:cs="Arial"/>
        </w:rPr>
        <w:t>el profesional Ltda.</w:t>
      </w:r>
      <w:proofErr w:type="gramEnd"/>
    </w:p>
    <w:p w14:paraId="7B07934C"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Peña Cabrera Freyre, A. (2009). El nuevo proceso penal peruano. Lima: Gaceta Jurídica</w:t>
      </w:r>
    </w:p>
    <w:p w14:paraId="6CAAD30D"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Ramírez Salinas, L. A. (2005). Principios generales que rigen la actividad probatoria. Asunción: La Ley.</w:t>
      </w:r>
    </w:p>
    <w:p w14:paraId="706F9115" w14:textId="77777777" w:rsidR="00C33B1B" w:rsidRPr="00C60881" w:rsidRDefault="00C33B1B" w:rsidP="00C33B1B">
      <w:pPr>
        <w:pStyle w:val="ref"/>
        <w:numPr>
          <w:ilvl w:val="0"/>
          <w:numId w:val="31"/>
        </w:numPr>
        <w:jc w:val="both"/>
        <w:rPr>
          <w:rFonts w:ascii="Arial" w:hAnsi="Arial" w:cs="Arial"/>
        </w:rPr>
      </w:pPr>
      <w:r w:rsidRPr="00C60881">
        <w:rPr>
          <w:rFonts w:ascii="Arial" w:hAnsi="Arial" w:cs="Arial"/>
        </w:rPr>
        <w:t xml:space="preserve">Tamayo Lombana A. La responsabilidad civil extracontractual y la contractual. </w:t>
      </w:r>
      <w:r w:rsidRPr="00C60881">
        <w:rPr>
          <w:rFonts w:ascii="Arial" w:hAnsi="Arial" w:cs="Arial"/>
          <w:lang w:val="es-MX"/>
        </w:rPr>
        <w:t>Bogotá, D.C., Colombia: Ediciones Doctrina y Ley; 2005. 478 p.</w:t>
      </w:r>
    </w:p>
    <w:p w14:paraId="031DBA1C"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Todaro, Z., y Guzmán, P. (2009). El dictamen pericial como medio de prueba para determinar la responsabilidad en la reincidencia de delitos de falsedad en documentos. Recuperado de http://revistas.unisimon.edu.co/index.php/justicia/article/view/625</w:t>
      </w:r>
    </w:p>
    <w:p w14:paraId="267971CE"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 xml:space="preserve">Toro, L., Vásquez, M. (2016). Impacto del dictamen pericial médico en los procesos de responsabilidad derivada de la prestación de servicios de salud: el caso del centro de estudios en derecho y salud CENDES. Rev. CES Derecho. </w:t>
      </w:r>
    </w:p>
    <w:p w14:paraId="1C0FB712" w14:textId="77777777" w:rsidR="00C33B1B" w:rsidRPr="00C60881" w:rsidRDefault="00C33B1B" w:rsidP="00C33B1B">
      <w:pPr>
        <w:pStyle w:val="ref"/>
        <w:numPr>
          <w:ilvl w:val="0"/>
          <w:numId w:val="31"/>
        </w:numPr>
        <w:jc w:val="both"/>
        <w:rPr>
          <w:rFonts w:ascii="Arial" w:hAnsi="Arial" w:cs="Arial"/>
        </w:rPr>
      </w:pPr>
      <w:r w:rsidRPr="00C60881">
        <w:rPr>
          <w:rFonts w:ascii="Arial" w:hAnsi="Arial" w:cs="Arial"/>
        </w:rPr>
        <w:t xml:space="preserve">Torras, Coll, José María, (2017). Prueba pericial psicopatológica y su valoración judicial. Recuperado de: el derecho.com. Consultado el 12 de marzo de 2020. </w:t>
      </w:r>
    </w:p>
    <w:p w14:paraId="21EEDFBE"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 xml:space="preserve">Velazco, F. (2013). El perito y el dictamen pericial. Ing. Civil Reg. CIP 15143. Lima - Perú.  </w:t>
      </w:r>
    </w:p>
    <w:p w14:paraId="640A4A52" w14:textId="77777777" w:rsidR="00C33B1B" w:rsidRPr="00C60881" w:rsidRDefault="00C33B1B" w:rsidP="00C33B1B">
      <w:pPr>
        <w:pStyle w:val="ref"/>
        <w:numPr>
          <w:ilvl w:val="0"/>
          <w:numId w:val="31"/>
        </w:numPr>
        <w:shd w:val="clear" w:color="auto" w:fill="FFFFFF"/>
        <w:jc w:val="both"/>
        <w:rPr>
          <w:rFonts w:ascii="Arial" w:hAnsi="Arial" w:cs="Arial"/>
        </w:rPr>
      </w:pPr>
      <w:r w:rsidRPr="00C60881">
        <w:rPr>
          <w:rFonts w:ascii="Arial" w:hAnsi="Arial" w:cs="Arial"/>
        </w:rPr>
        <w:t xml:space="preserve">Vélez, Hernán. (2015). La responsabilidad Jurídica: aproximación al concepto, relación con otros conceptos jurídicos fundamentales y su funcionamiento. Revista Facultad de Derecho y Ciencias Políticas UPB. Volumen 45, </w:t>
      </w:r>
      <w:r w:rsidRPr="00C60881">
        <w:rPr>
          <w:rFonts w:ascii="Arial" w:hAnsi="Arial" w:cs="Arial"/>
          <w:lang w:val="es-MX"/>
        </w:rPr>
        <w:t>Núm. 122.</w:t>
      </w:r>
    </w:p>
    <w:p w14:paraId="79D224DF" w14:textId="77777777" w:rsidR="00C33B1B" w:rsidRPr="00C60881" w:rsidRDefault="00C33B1B" w:rsidP="00C33B1B">
      <w:pPr>
        <w:pStyle w:val="Prrafodelista"/>
        <w:numPr>
          <w:ilvl w:val="0"/>
          <w:numId w:val="31"/>
        </w:numPr>
        <w:spacing w:before="100" w:beforeAutospacing="1" w:after="100" w:afterAutospacing="1"/>
        <w:jc w:val="both"/>
        <w:rPr>
          <w:rFonts w:ascii="Arial" w:hAnsi="Arial" w:cs="Arial"/>
          <w:lang w:val="es-ES"/>
        </w:rPr>
      </w:pPr>
      <w:r w:rsidRPr="00C60881">
        <w:rPr>
          <w:rFonts w:ascii="Arial" w:hAnsi="Arial" w:cs="Arial"/>
        </w:rPr>
        <w:t xml:space="preserve"> Villorrio Toranzo, Miguel, (2004). Introducción al estudio del Derecho, Porrúa, México. </w:t>
      </w:r>
    </w:p>
    <w:p w14:paraId="5C9A7C2D" w14:textId="53B9EF1A" w:rsidR="00C00334" w:rsidRPr="00C60881" w:rsidRDefault="00D21B5A" w:rsidP="00C33B1B">
      <w:pPr>
        <w:pStyle w:val="Prrafodelista"/>
        <w:autoSpaceDE w:val="0"/>
        <w:autoSpaceDN w:val="0"/>
        <w:adjustRightInd w:val="0"/>
        <w:ind w:left="360"/>
        <w:jc w:val="both"/>
        <w:rPr>
          <w:rFonts w:ascii="Arial" w:hAnsi="Arial" w:cs="Arial"/>
          <w:lang w:val="en-US"/>
        </w:rPr>
      </w:pPr>
      <w:r w:rsidRPr="00C60881">
        <w:rPr>
          <w:rFonts w:ascii="Arial" w:hAnsi="Arial" w:cs="Arial"/>
          <w:lang w:val="en-US"/>
        </w:rPr>
        <w:t xml:space="preserve"> </w:t>
      </w:r>
    </w:p>
    <w:sectPr w:rsidR="00C00334" w:rsidRPr="00C60881" w:rsidSect="005B7AAE">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0B67F7" w14:textId="77777777" w:rsidR="007E2F88" w:rsidRDefault="007E2F88" w:rsidP="00D820E8">
      <w:r>
        <w:separator/>
      </w:r>
    </w:p>
  </w:endnote>
  <w:endnote w:type="continuationSeparator" w:id="0">
    <w:p w14:paraId="3A0F8F12" w14:textId="77777777" w:rsidR="007E2F88" w:rsidRDefault="007E2F88" w:rsidP="00D820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7E14AA" w14:textId="77777777" w:rsidR="007E2F88" w:rsidRDefault="007E2F88" w:rsidP="00D820E8">
      <w:r>
        <w:separator/>
      </w:r>
    </w:p>
  </w:footnote>
  <w:footnote w:type="continuationSeparator" w:id="0">
    <w:p w14:paraId="37832407" w14:textId="77777777" w:rsidR="007E2F88" w:rsidRDefault="007E2F88" w:rsidP="00D820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5723F9" w14:textId="427AA6A8" w:rsidR="00EC444A" w:rsidRDefault="00D21B5A">
    <w:pPr>
      <w:pStyle w:val="Encabezado"/>
    </w:pPr>
    <w:r>
      <w:rPr>
        <w:noProof/>
        <w:lang w:val="es-CO" w:eastAsia="es-CO"/>
      </w:rPr>
      <w:drawing>
        <wp:inline distT="0" distB="0" distL="0" distR="0" wp14:anchorId="5388465D" wp14:editId="454347F2">
          <wp:extent cx="2705100" cy="913596"/>
          <wp:effectExtent l="0" t="0" r="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2559" cy="9161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7661A4"/>
    <w:multiLevelType w:val="hybridMultilevel"/>
    <w:tmpl w:val="3D764746"/>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 w15:restartNumberingAfterBreak="0">
    <w:nsid w:val="079C1DC8"/>
    <w:multiLevelType w:val="hybridMultilevel"/>
    <w:tmpl w:val="640CAB1A"/>
    <w:lvl w:ilvl="0" w:tplc="B38C949A">
      <w:start w:val="1"/>
      <w:numFmt w:val="bullet"/>
      <w:lvlText w:val="•"/>
      <w:lvlJc w:val="left"/>
      <w:pPr>
        <w:tabs>
          <w:tab w:val="num" w:pos="720"/>
        </w:tabs>
        <w:ind w:left="720" w:hanging="360"/>
      </w:pPr>
      <w:rPr>
        <w:rFonts w:ascii="Times New Roman" w:hAnsi="Times New Roman" w:hint="default"/>
      </w:rPr>
    </w:lvl>
    <w:lvl w:ilvl="1" w:tplc="42DA2D92" w:tentative="1">
      <w:start w:val="1"/>
      <w:numFmt w:val="bullet"/>
      <w:lvlText w:val="•"/>
      <w:lvlJc w:val="left"/>
      <w:pPr>
        <w:tabs>
          <w:tab w:val="num" w:pos="1440"/>
        </w:tabs>
        <w:ind w:left="1440" w:hanging="360"/>
      </w:pPr>
      <w:rPr>
        <w:rFonts w:ascii="Times New Roman" w:hAnsi="Times New Roman" w:hint="default"/>
      </w:rPr>
    </w:lvl>
    <w:lvl w:ilvl="2" w:tplc="B4022A4C" w:tentative="1">
      <w:start w:val="1"/>
      <w:numFmt w:val="bullet"/>
      <w:lvlText w:val="•"/>
      <w:lvlJc w:val="left"/>
      <w:pPr>
        <w:tabs>
          <w:tab w:val="num" w:pos="2160"/>
        </w:tabs>
        <w:ind w:left="2160" w:hanging="360"/>
      </w:pPr>
      <w:rPr>
        <w:rFonts w:ascii="Times New Roman" w:hAnsi="Times New Roman" w:hint="default"/>
      </w:rPr>
    </w:lvl>
    <w:lvl w:ilvl="3" w:tplc="EECA63A4" w:tentative="1">
      <w:start w:val="1"/>
      <w:numFmt w:val="bullet"/>
      <w:lvlText w:val="•"/>
      <w:lvlJc w:val="left"/>
      <w:pPr>
        <w:tabs>
          <w:tab w:val="num" w:pos="2880"/>
        </w:tabs>
        <w:ind w:left="2880" w:hanging="360"/>
      </w:pPr>
      <w:rPr>
        <w:rFonts w:ascii="Times New Roman" w:hAnsi="Times New Roman" w:hint="default"/>
      </w:rPr>
    </w:lvl>
    <w:lvl w:ilvl="4" w:tplc="FD380A4A" w:tentative="1">
      <w:start w:val="1"/>
      <w:numFmt w:val="bullet"/>
      <w:lvlText w:val="•"/>
      <w:lvlJc w:val="left"/>
      <w:pPr>
        <w:tabs>
          <w:tab w:val="num" w:pos="3600"/>
        </w:tabs>
        <w:ind w:left="3600" w:hanging="360"/>
      </w:pPr>
      <w:rPr>
        <w:rFonts w:ascii="Times New Roman" w:hAnsi="Times New Roman" w:hint="default"/>
      </w:rPr>
    </w:lvl>
    <w:lvl w:ilvl="5" w:tplc="F604AC2A" w:tentative="1">
      <w:start w:val="1"/>
      <w:numFmt w:val="bullet"/>
      <w:lvlText w:val="•"/>
      <w:lvlJc w:val="left"/>
      <w:pPr>
        <w:tabs>
          <w:tab w:val="num" w:pos="4320"/>
        </w:tabs>
        <w:ind w:left="4320" w:hanging="360"/>
      </w:pPr>
      <w:rPr>
        <w:rFonts w:ascii="Times New Roman" w:hAnsi="Times New Roman" w:hint="default"/>
      </w:rPr>
    </w:lvl>
    <w:lvl w:ilvl="6" w:tplc="665EC558" w:tentative="1">
      <w:start w:val="1"/>
      <w:numFmt w:val="bullet"/>
      <w:lvlText w:val="•"/>
      <w:lvlJc w:val="left"/>
      <w:pPr>
        <w:tabs>
          <w:tab w:val="num" w:pos="5040"/>
        </w:tabs>
        <w:ind w:left="5040" w:hanging="360"/>
      </w:pPr>
      <w:rPr>
        <w:rFonts w:ascii="Times New Roman" w:hAnsi="Times New Roman" w:hint="default"/>
      </w:rPr>
    </w:lvl>
    <w:lvl w:ilvl="7" w:tplc="71DC8A2E" w:tentative="1">
      <w:start w:val="1"/>
      <w:numFmt w:val="bullet"/>
      <w:lvlText w:val="•"/>
      <w:lvlJc w:val="left"/>
      <w:pPr>
        <w:tabs>
          <w:tab w:val="num" w:pos="5760"/>
        </w:tabs>
        <w:ind w:left="5760" w:hanging="360"/>
      </w:pPr>
      <w:rPr>
        <w:rFonts w:ascii="Times New Roman" w:hAnsi="Times New Roman" w:hint="default"/>
      </w:rPr>
    </w:lvl>
    <w:lvl w:ilvl="8" w:tplc="6BE6BE10"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9384CD2"/>
    <w:multiLevelType w:val="hybridMultilevel"/>
    <w:tmpl w:val="0A10516C"/>
    <w:lvl w:ilvl="0" w:tplc="0C0A0019">
      <w:start w:val="1"/>
      <w:numFmt w:val="lowerLetter"/>
      <w:lvlText w:val="%1."/>
      <w:lvlJc w:val="left"/>
      <w:pPr>
        <w:ind w:left="-71" w:hanging="360"/>
      </w:pPr>
      <w:rPr>
        <w:rFonts w:hint="default"/>
      </w:rPr>
    </w:lvl>
    <w:lvl w:ilvl="1" w:tplc="D80CE71A">
      <w:start w:val="1"/>
      <w:numFmt w:val="decimal"/>
      <w:lvlText w:val="%2."/>
      <w:lvlJc w:val="left"/>
      <w:pPr>
        <w:ind w:left="649" w:hanging="360"/>
      </w:pPr>
      <w:rPr>
        <w:rFonts w:hint="default"/>
      </w:rPr>
    </w:lvl>
    <w:lvl w:ilvl="2" w:tplc="140A001B" w:tentative="1">
      <w:start w:val="1"/>
      <w:numFmt w:val="lowerRoman"/>
      <w:lvlText w:val="%3."/>
      <w:lvlJc w:val="right"/>
      <w:pPr>
        <w:ind w:left="1369" w:hanging="180"/>
      </w:pPr>
    </w:lvl>
    <w:lvl w:ilvl="3" w:tplc="140A000F" w:tentative="1">
      <w:start w:val="1"/>
      <w:numFmt w:val="decimal"/>
      <w:lvlText w:val="%4."/>
      <w:lvlJc w:val="left"/>
      <w:pPr>
        <w:ind w:left="2089" w:hanging="360"/>
      </w:pPr>
    </w:lvl>
    <w:lvl w:ilvl="4" w:tplc="140A0019" w:tentative="1">
      <w:start w:val="1"/>
      <w:numFmt w:val="lowerLetter"/>
      <w:lvlText w:val="%5."/>
      <w:lvlJc w:val="left"/>
      <w:pPr>
        <w:ind w:left="2809" w:hanging="360"/>
      </w:pPr>
    </w:lvl>
    <w:lvl w:ilvl="5" w:tplc="140A001B" w:tentative="1">
      <w:start w:val="1"/>
      <w:numFmt w:val="lowerRoman"/>
      <w:lvlText w:val="%6."/>
      <w:lvlJc w:val="right"/>
      <w:pPr>
        <w:ind w:left="3529" w:hanging="180"/>
      </w:pPr>
    </w:lvl>
    <w:lvl w:ilvl="6" w:tplc="140A000F" w:tentative="1">
      <w:start w:val="1"/>
      <w:numFmt w:val="decimal"/>
      <w:lvlText w:val="%7."/>
      <w:lvlJc w:val="left"/>
      <w:pPr>
        <w:ind w:left="4249" w:hanging="360"/>
      </w:pPr>
    </w:lvl>
    <w:lvl w:ilvl="7" w:tplc="140A0019" w:tentative="1">
      <w:start w:val="1"/>
      <w:numFmt w:val="lowerLetter"/>
      <w:lvlText w:val="%8."/>
      <w:lvlJc w:val="left"/>
      <w:pPr>
        <w:ind w:left="4969" w:hanging="360"/>
      </w:pPr>
    </w:lvl>
    <w:lvl w:ilvl="8" w:tplc="140A001B" w:tentative="1">
      <w:start w:val="1"/>
      <w:numFmt w:val="lowerRoman"/>
      <w:lvlText w:val="%9."/>
      <w:lvlJc w:val="right"/>
      <w:pPr>
        <w:ind w:left="5689" w:hanging="180"/>
      </w:pPr>
    </w:lvl>
  </w:abstractNum>
  <w:abstractNum w:abstractNumId="3" w15:restartNumberingAfterBreak="0">
    <w:nsid w:val="0DC037EA"/>
    <w:multiLevelType w:val="hybridMultilevel"/>
    <w:tmpl w:val="97B0E4DE"/>
    <w:lvl w:ilvl="0" w:tplc="A99AF8E2">
      <w:start w:val="1"/>
      <w:numFmt w:val="bullet"/>
      <w:lvlText w:val="•"/>
      <w:lvlJc w:val="left"/>
      <w:pPr>
        <w:tabs>
          <w:tab w:val="num" w:pos="720"/>
        </w:tabs>
        <w:ind w:left="720" w:hanging="360"/>
      </w:pPr>
      <w:rPr>
        <w:rFonts w:ascii="Times New Roman" w:hAnsi="Times New Roman" w:hint="default"/>
      </w:rPr>
    </w:lvl>
    <w:lvl w:ilvl="1" w:tplc="77382580" w:tentative="1">
      <w:start w:val="1"/>
      <w:numFmt w:val="bullet"/>
      <w:lvlText w:val="•"/>
      <w:lvlJc w:val="left"/>
      <w:pPr>
        <w:tabs>
          <w:tab w:val="num" w:pos="1440"/>
        </w:tabs>
        <w:ind w:left="1440" w:hanging="360"/>
      </w:pPr>
      <w:rPr>
        <w:rFonts w:ascii="Times New Roman" w:hAnsi="Times New Roman" w:hint="default"/>
      </w:rPr>
    </w:lvl>
    <w:lvl w:ilvl="2" w:tplc="1CFC5DE2" w:tentative="1">
      <w:start w:val="1"/>
      <w:numFmt w:val="bullet"/>
      <w:lvlText w:val="•"/>
      <w:lvlJc w:val="left"/>
      <w:pPr>
        <w:tabs>
          <w:tab w:val="num" w:pos="2160"/>
        </w:tabs>
        <w:ind w:left="2160" w:hanging="360"/>
      </w:pPr>
      <w:rPr>
        <w:rFonts w:ascii="Times New Roman" w:hAnsi="Times New Roman" w:hint="default"/>
      </w:rPr>
    </w:lvl>
    <w:lvl w:ilvl="3" w:tplc="07ACBCC2" w:tentative="1">
      <w:start w:val="1"/>
      <w:numFmt w:val="bullet"/>
      <w:lvlText w:val="•"/>
      <w:lvlJc w:val="left"/>
      <w:pPr>
        <w:tabs>
          <w:tab w:val="num" w:pos="2880"/>
        </w:tabs>
        <w:ind w:left="2880" w:hanging="360"/>
      </w:pPr>
      <w:rPr>
        <w:rFonts w:ascii="Times New Roman" w:hAnsi="Times New Roman" w:hint="default"/>
      </w:rPr>
    </w:lvl>
    <w:lvl w:ilvl="4" w:tplc="F6DAC7B0" w:tentative="1">
      <w:start w:val="1"/>
      <w:numFmt w:val="bullet"/>
      <w:lvlText w:val="•"/>
      <w:lvlJc w:val="left"/>
      <w:pPr>
        <w:tabs>
          <w:tab w:val="num" w:pos="3600"/>
        </w:tabs>
        <w:ind w:left="3600" w:hanging="360"/>
      </w:pPr>
      <w:rPr>
        <w:rFonts w:ascii="Times New Roman" w:hAnsi="Times New Roman" w:hint="default"/>
      </w:rPr>
    </w:lvl>
    <w:lvl w:ilvl="5" w:tplc="4A7CFED4" w:tentative="1">
      <w:start w:val="1"/>
      <w:numFmt w:val="bullet"/>
      <w:lvlText w:val="•"/>
      <w:lvlJc w:val="left"/>
      <w:pPr>
        <w:tabs>
          <w:tab w:val="num" w:pos="4320"/>
        </w:tabs>
        <w:ind w:left="4320" w:hanging="360"/>
      </w:pPr>
      <w:rPr>
        <w:rFonts w:ascii="Times New Roman" w:hAnsi="Times New Roman" w:hint="default"/>
      </w:rPr>
    </w:lvl>
    <w:lvl w:ilvl="6" w:tplc="C8A2A42A" w:tentative="1">
      <w:start w:val="1"/>
      <w:numFmt w:val="bullet"/>
      <w:lvlText w:val="•"/>
      <w:lvlJc w:val="left"/>
      <w:pPr>
        <w:tabs>
          <w:tab w:val="num" w:pos="5040"/>
        </w:tabs>
        <w:ind w:left="5040" w:hanging="360"/>
      </w:pPr>
      <w:rPr>
        <w:rFonts w:ascii="Times New Roman" w:hAnsi="Times New Roman" w:hint="default"/>
      </w:rPr>
    </w:lvl>
    <w:lvl w:ilvl="7" w:tplc="6C8E1B16" w:tentative="1">
      <w:start w:val="1"/>
      <w:numFmt w:val="bullet"/>
      <w:lvlText w:val="•"/>
      <w:lvlJc w:val="left"/>
      <w:pPr>
        <w:tabs>
          <w:tab w:val="num" w:pos="5760"/>
        </w:tabs>
        <w:ind w:left="5760" w:hanging="360"/>
      </w:pPr>
      <w:rPr>
        <w:rFonts w:ascii="Times New Roman" w:hAnsi="Times New Roman" w:hint="default"/>
      </w:rPr>
    </w:lvl>
    <w:lvl w:ilvl="8" w:tplc="61708962"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EAB7B09"/>
    <w:multiLevelType w:val="hybridMultilevel"/>
    <w:tmpl w:val="B0A2BB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524294D"/>
    <w:multiLevelType w:val="hybridMultilevel"/>
    <w:tmpl w:val="B7E6969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5965B39"/>
    <w:multiLevelType w:val="hybridMultilevel"/>
    <w:tmpl w:val="72AA5E6C"/>
    <w:lvl w:ilvl="0" w:tplc="B34C1DAE">
      <w:start w:val="1"/>
      <w:numFmt w:val="decimal"/>
      <w:lvlText w:val="%1."/>
      <w:lvlJc w:val="left"/>
      <w:pPr>
        <w:ind w:left="360" w:hanging="360"/>
      </w:pPr>
      <w:rPr>
        <w:rFonts w:cs="Times New Roman"/>
        <w:b/>
      </w:rPr>
    </w:lvl>
    <w:lvl w:ilvl="1" w:tplc="2C0A0019">
      <w:start w:val="1"/>
      <w:numFmt w:val="lowerLetter"/>
      <w:lvlText w:val="%2."/>
      <w:lvlJc w:val="left"/>
      <w:pPr>
        <w:ind w:left="1080" w:hanging="360"/>
      </w:pPr>
      <w:rPr>
        <w:rFonts w:cs="Times New Roman"/>
      </w:rPr>
    </w:lvl>
    <w:lvl w:ilvl="2" w:tplc="2C0A001B">
      <w:start w:val="1"/>
      <w:numFmt w:val="lowerRoman"/>
      <w:lvlText w:val="%3."/>
      <w:lvlJc w:val="right"/>
      <w:pPr>
        <w:ind w:left="1800" w:hanging="180"/>
      </w:pPr>
      <w:rPr>
        <w:rFonts w:cs="Times New Roman"/>
      </w:rPr>
    </w:lvl>
    <w:lvl w:ilvl="3" w:tplc="2C0A000F">
      <w:start w:val="1"/>
      <w:numFmt w:val="decimal"/>
      <w:lvlText w:val="%4."/>
      <w:lvlJc w:val="left"/>
      <w:pPr>
        <w:ind w:left="2520" w:hanging="360"/>
      </w:pPr>
      <w:rPr>
        <w:rFonts w:cs="Times New Roman"/>
      </w:rPr>
    </w:lvl>
    <w:lvl w:ilvl="4" w:tplc="2C0A0019">
      <w:start w:val="1"/>
      <w:numFmt w:val="lowerLetter"/>
      <w:lvlText w:val="%5."/>
      <w:lvlJc w:val="left"/>
      <w:pPr>
        <w:ind w:left="3240" w:hanging="360"/>
      </w:pPr>
      <w:rPr>
        <w:rFonts w:cs="Times New Roman"/>
      </w:rPr>
    </w:lvl>
    <w:lvl w:ilvl="5" w:tplc="2C0A001B">
      <w:start w:val="1"/>
      <w:numFmt w:val="lowerRoman"/>
      <w:lvlText w:val="%6."/>
      <w:lvlJc w:val="right"/>
      <w:pPr>
        <w:ind w:left="3960" w:hanging="180"/>
      </w:pPr>
      <w:rPr>
        <w:rFonts w:cs="Times New Roman"/>
      </w:rPr>
    </w:lvl>
    <w:lvl w:ilvl="6" w:tplc="2C0A000F">
      <w:start w:val="1"/>
      <w:numFmt w:val="decimal"/>
      <w:lvlText w:val="%7."/>
      <w:lvlJc w:val="left"/>
      <w:pPr>
        <w:ind w:left="4680" w:hanging="360"/>
      </w:pPr>
      <w:rPr>
        <w:rFonts w:cs="Times New Roman"/>
      </w:rPr>
    </w:lvl>
    <w:lvl w:ilvl="7" w:tplc="2C0A0019">
      <w:start w:val="1"/>
      <w:numFmt w:val="lowerLetter"/>
      <w:lvlText w:val="%8."/>
      <w:lvlJc w:val="left"/>
      <w:pPr>
        <w:ind w:left="5400" w:hanging="360"/>
      </w:pPr>
      <w:rPr>
        <w:rFonts w:cs="Times New Roman"/>
      </w:rPr>
    </w:lvl>
    <w:lvl w:ilvl="8" w:tplc="2C0A001B">
      <w:start w:val="1"/>
      <w:numFmt w:val="lowerRoman"/>
      <w:lvlText w:val="%9."/>
      <w:lvlJc w:val="right"/>
      <w:pPr>
        <w:ind w:left="6120" w:hanging="180"/>
      </w:pPr>
      <w:rPr>
        <w:rFonts w:cs="Times New Roman"/>
      </w:rPr>
    </w:lvl>
  </w:abstractNum>
  <w:abstractNum w:abstractNumId="7" w15:restartNumberingAfterBreak="0">
    <w:nsid w:val="168C1C9B"/>
    <w:multiLevelType w:val="hybridMultilevel"/>
    <w:tmpl w:val="EC5A00CC"/>
    <w:lvl w:ilvl="0" w:tplc="7ACEBF7E">
      <w:start w:val="1"/>
      <w:numFmt w:val="decimal"/>
      <w:lvlText w:val="%1)"/>
      <w:lvlJc w:val="left"/>
      <w:pPr>
        <w:ind w:left="720" w:hanging="360"/>
      </w:pPr>
      <w:rPr>
        <w:rFonts w:ascii="Arial" w:hAnsi="Arial" w:cs="Arial" w:hint="default"/>
        <w:b/>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8E8445C"/>
    <w:multiLevelType w:val="multilevel"/>
    <w:tmpl w:val="E3DA9CF8"/>
    <w:lvl w:ilvl="0">
      <w:start w:val="1"/>
      <w:numFmt w:val="decimal"/>
      <w:lvlText w:val="%1."/>
      <w:lvlJc w:val="left"/>
      <w:pPr>
        <w:ind w:left="720" w:hanging="360"/>
      </w:pPr>
      <w:rPr>
        <w:rFonts w:hint="default"/>
        <w:b/>
      </w:rPr>
    </w:lvl>
    <w:lvl w:ilvl="1">
      <w:start w:val="1"/>
      <w:numFmt w:val="decimal"/>
      <w:isLgl/>
      <w:lvlText w:val="%1.%2"/>
      <w:lvlJc w:val="left"/>
      <w:pPr>
        <w:ind w:left="840" w:hanging="480"/>
      </w:pPr>
      <w:rPr>
        <w:rFonts w:hint="default"/>
        <w:b/>
        <w:color w:val="auto"/>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440" w:hanging="1080"/>
      </w:pPr>
      <w:rPr>
        <w:rFonts w:hint="default"/>
        <w:b/>
        <w:color w:val="auto"/>
      </w:rPr>
    </w:lvl>
    <w:lvl w:ilvl="4">
      <w:start w:val="1"/>
      <w:numFmt w:val="decimal"/>
      <w:isLgl/>
      <w:lvlText w:val="%1.%2.%3.%4.%5"/>
      <w:lvlJc w:val="left"/>
      <w:pPr>
        <w:ind w:left="1440" w:hanging="1080"/>
      </w:pPr>
      <w:rPr>
        <w:rFonts w:hint="default"/>
        <w:b/>
        <w:color w:val="auto"/>
      </w:rPr>
    </w:lvl>
    <w:lvl w:ilvl="5">
      <w:start w:val="1"/>
      <w:numFmt w:val="decimal"/>
      <w:isLgl/>
      <w:lvlText w:val="%1.%2.%3.%4.%5.%6"/>
      <w:lvlJc w:val="left"/>
      <w:pPr>
        <w:ind w:left="1800" w:hanging="1440"/>
      </w:pPr>
      <w:rPr>
        <w:rFonts w:hint="default"/>
        <w:b/>
        <w:color w:val="auto"/>
      </w:rPr>
    </w:lvl>
    <w:lvl w:ilvl="6">
      <w:start w:val="1"/>
      <w:numFmt w:val="decimal"/>
      <w:isLgl/>
      <w:lvlText w:val="%1.%2.%3.%4.%5.%6.%7"/>
      <w:lvlJc w:val="left"/>
      <w:pPr>
        <w:ind w:left="1800" w:hanging="1440"/>
      </w:pPr>
      <w:rPr>
        <w:rFonts w:hint="default"/>
        <w:b/>
        <w:color w:val="auto"/>
      </w:rPr>
    </w:lvl>
    <w:lvl w:ilvl="7">
      <w:start w:val="1"/>
      <w:numFmt w:val="decimal"/>
      <w:isLgl/>
      <w:lvlText w:val="%1.%2.%3.%4.%5.%6.%7.%8"/>
      <w:lvlJc w:val="left"/>
      <w:pPr>
        <w:ind w:left="2160" w:hanging="1800"/>
      </w:pPr>
      <w:rPr>
        <w:rFonts w:hint="default"/>
        <w:b/>
        <w:color w:val="auto"/>
      </w:rPr>
    </w:lvl>
    <w:lvl w:ilvl="8">
      <w:start w:val="1"/>
      <w:numFmt w:val="decimal"/>
      <w:isLgl/>
      <w:lvlText w:val="%1.%2.%3.%4.%5.%6.%7.%8.%9"/>
      <w:lvlJc w:val="left"/>
      <w:pPr>
        <w:ind w:left="2160" w:hanging="1800"/>
      </w:pPr>
      <w:rPr>
        <w:rFonts w:hint="default"/>
        <w:b/>
        <w:color w:val="auto"/>
      </w:rPr>
    </w:lvl>
  </w:abstractNum>
  <w:abstractNum w:abstractNumId="9" w15:restartNumberingAfterBreak="0">
    <w:nsid w:val="279C39F4"/>
    <w:multiLevelType w:val="hybridMultilevel"/>
    <w:tmpl w:val="F76219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B174C87"/>
    <w:multiLevelType w:val="hybridMultilevel"/>
    <w:tmpl w:val="22046508"/>
    <w:lvl w:ilvl="0" w:tplc="240A000F">
      <w:start w:val="3"/>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3D1A4952"/>
    <w:multiLevelType w:val="hybridMultilevel"/>
    <w:tmpl w:val="2F461C7A"/>
    <w:lvl w:ilvl="0" w:tplc="B344C766">
      <w:numFmt w:val="bullet"/>
      <w:lvlText w:val="•"/>
      <w:lvlJc w:val="left"/>
      <w:pPr>
        <w:ind w:left="1065" w:hanging="705"/>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E0C020D"/>
    <w:multiLevelType w:val="hybridMultilevel"/>
    <w:tmpl w:val="B7FE1B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40826B2B"/>
    <w:multiLevelType w:val="hybridMultilevel"/>
    <w:tmpl w:val="39062142"/>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4" w15:restartNumberingAfterBreak="0">
    <w:nsid w:val="41C97BA4"/>
    <w:multiLevelType w:val="hybridMultilevel"/>
    <w:tmpl w:val="4B7AEB7A"/>
    <w:lvl w:ilvl="0" w:tplc="B344C766">
      <w:numFmt w:val="bullet"/>
      <w:lvlText w:val="•"/>
      <w:lvlJc w:val="left"/>
      <w:pPr>
        <w:ind w:left="1785" w:hanging="705"/>
      </w:pPr>
      <w:rPr>
        <w:rFonts w:ascii="Arial" w:eastAsiaTheme="minorHAnsi" w:hAnsi="Arial" w:cs="Aria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 w15:restartNumberingAfterBreak="0">
    <w:nsid w:val="44787C3C"/>
    <w:multiLevelType w:val="multilevel"/>
    <w:tmpl w:val="87D68CDC"/>
    <w:lvl w:ilvl="0">
      <w:start w:val="1"/>
      <w:numFmt w:val="decimal"/>
      <w:lvlText w:val="%1."/>
      <w:lvlJc w:val="left"/>
      <w:pPr>
        <w:ind w:left="360" w:hanging="360"/>
      </w:pPr>
    </w:lvl>
    <w:lvl w:ilvl="1">
      <w:start w:val="1"/>
      <w:numFmt w:val="decimal"/>
      <w:isLgl/>
      <w:lvlText w:val="%1.%2."/>
      <w:lvlJc w:val="left"/>
      <w:pPr>
        <w:ind w:left="1080" w:hanging="720"/>
      </w:pPr>
      <w:rPr>
        <w:rFonts w:hint="default"/>
        <w:b w:val="0"/>
      </w:rPr>
    </w:lvl>
    <w:lvl w:ilvl="2">
      <w:start w:val="1"/>
      <w:numFmt w:val="decimal"/>
      <w:isLgl/>
      <w:lvlText w:val="%1.%2.%3."/>
      <w:lvlJc w:val="left"/>
      <w:pPr>
        <w:ind w:left="1440" w:hanging="720"/>
      </w:pPr>
      <w:rPr>
        <w:rFonts w:hint="default"/>
        <w:b/>
      </w:rPr>
    </w:lvl>
    <w:lvl w:ilvl="3">
      <w:start w:val="1"/>
      <w:numFmt w:val="decimal"/>
      <w:isLgl/>
      <w:lvlText w:val="%1.%2.%3.%4."/>
      <w:lvlJc w:val="left"/>
      <w:pPr>
        <w:ind w:left="2160" w:hanging="108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3240" w:hanging="144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4320" w:hanging="1800"/>
      </w:pPr>
      <w:rPr>
        <w:rFonts w:hint="default"/>
        <w:b/>
      </w:rPr>
    </w:lvl>
    <w:lvl w:ilvl="8">
      <w:start w:val="1"/>
      <w:numFmt w:val="decimal"/>
      <w:isLgl/>
      <w:lvlText w:val="%1.%2.%3.%4.%5.%6.%7.%8.%9."/>
      <w:lvlJc w:val="left"/>
      <w:pPr>
        <w:ind w:left="5040" w:hanging="2160"/>
      </w:pPr>
      <w:rPr>
        <w:rFonts w:hint="default"/>
        <w:b/>
      </w:rPr>
    </w:lvl>
  </w:abstractNum>
  <w:abstractNum w:abstractNumId="16" w15:restartNumberingAfterBreak="0">
    <w:nsid w:val="4F523A67"/>
    <w:multiLevelType w:val="multilevel"/>
    <w:tmpl w:val="996C4D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0BF676B"/>
    <w:multiLevelType w:val="hybridMultilevel"/>
    <w:tmpl w:val="91A4B7C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57F10DED"/>
    <w:multiLevelType w:val="hybridMultilevel"/>
    <w:tmpl w:val="03D44D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B773A26"/>
    <w:multiLevelType w:val="hybridMultilevel"/>
    <w:tmpl w:val="0E22A22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15:restartNumberingAfterBreak="0">
    <w:nsid w:val="5BB9202A"/>
    <w:multiLevelType w:val="hybridMultilevel"/>
    <w:tmpl w:val="68C01FA0"/>
    <w:lvl w:ilvl="0" w:tplc="90CEA2BA">
      <w:start w:val="1"/>
      <w:numFmt w:val="bullet"/>
      <w:lvlText w:val="•"/>
      <w:lvlJc w:val="left"/>
      <w:pPr>
        <w:tabs>
          <w:tab w:val="num" w:pos="720"/>
        </w:tabs>
        <w:ind w:left="720" w:hanging="360"/>
      </w:pPr>
      <w:rPr>
        <w:rFonts w:ascii="Times New Roman" w:hAnsi="Times New Roman" w:hint="default"/>
      </w:rPr>
    </w:lvl>
    <w:lvl w:ilvl="1" w:tplc="313A09CC" w:tentative="1">
      <w:start w:val="1"/>
      <w:numFmt w:val="bullet"/>
      <w:lvlText w:val="•"/>
      <w:lvlJc w:val="left"/>
      <w:pPr>
        <w:tabs>
          <w:tab w:val="num" w:pos="1440"/>
        </w:tabs>
        <w:ind w:left="1440" w:hanging="360"/>
      </w:pPr>
      <w:rPr>
        <w:rFonts w:ascii="Times New Roman" w:hAnsi="Times New Roman" w:hint="default"/>
      </w:rPr>
    </w:lvl>
    <w:lvl w:ilvl="2" w:tplc="4F2E0EA6" w:tentative="1">
      <w:start w:val="1"/>
      <w:numFmt w:val="bullet"/>
      <w:lvlText w:val="•"/>
      <w:lvlJc w:val="left"/>
      <w:pPr>
        <w:tabs>
          <w:tab w:val="num" w:pos="2160"/>
        </w:tabs>
        <w:ind w:left="2160" w:hanging="360"/>
      </w:pPr>
      <w:rPr>
        <w:rFonts w:ascii="Times New Roman" w:hAnsi="Times New Roman" w:hint="default"/>
      </w:rPr>
    </w:lvl>
    <w:lvl w:ilvl="3" w:tplc="5A6C5DBA" w:tentative="1">
      <w:start w:val="1"/>
      <w:numFmt w:val="bullet"/>
      <w:lvlText w:val="•"/>
      <w:lvlJc w:val="left"/>
      <w:pPr>
        <w:tabs>
          <w:tab w:val="num" w:pos="2880"/>
        </w:tabs>
        <w:ind w:left="2880" w:hanging="360"/>
      </w:pPr>
      <w:rPr>
        <w:rFonts w:ascii="Times New Roman" w:hAnsi="Times New Roman" w:hint="default"/>
      </w:rPr>
    </w:lvl>
    <w:lvl w:ilvl="4" w:tplc="FEA6E68A" w:tentative="1">
      <w:start w:val="1"/>
      <w:numFmt w:val="bullet"/>
      <w:lvlText w:val="•"/>
      <w:lvlJc w:val="left"/>
      <w:pPr>
        <w:tabs>
          <w:tab w:val="num" w:pos="3600"/>
        </w:tabs>
        <w:ind w:left="3600" w:hanging="360"/>
      </w:pPr>
      <w:rPr>
        <w:rFonts w:ascii="Times New Roman" w:hAnsi="Times New Roman" w:hint="default"/>
      </w:rPr>
    </w:lvl>
    <w:lvl w:ilvl="5" w:tplc="D2A2135E" w:tentative="1">
      <w:start w:val="1"/>
      <w:numFmt w:val="bullet"/>
      <w:lvlText w:val="•"/>
      <w:lvlJc w:val="left"/>
      <w:pPr>
        <w:tabs>
          <w:tab w:val="num" w:pos="4320"/>
        </w:tabs>
        <w:ind w:left="4320" w:hanging="360"/>
      </w:pPr>
      <w:rPr>
        <w:rFonts w:ascii="Times New Roman" w:hAnsi="Times New Roman" w:hint="default"/>
      </w:rPr>
    </w:lvl>
    <w:lvl w:ilvl="6" w:tplc="738894B6" w:tentative="1">
      <w:start w:val="1"/>
      <w:numFmt w:val="bullet"/>
      <w:lvlText w:val="•"/>
      <w:lvlJc w:val="left"/>
      <w:pPr>
        <w:tabs>
          <w:tab w:val="num" w:pos="5040"/>
        </w:tabs>
        <w:ind w:left="5040" w:hanging="360"/>
      </w:pPr>
      <w:rPr>
        <w:rFonts w:ascii="Times New Roman" w:hAnsi="Times New Roman" w:hint="default"/>
      </w:rPr>
    </w:lvl>
    <w:lvl w:ilvl="7" w:tplc="8F287E70" w:tentative="1">
      <w:start w:val="1"/>
      <w:numFmt w:val="bullet"/>
      <w:lvlText w:val="•"/>
      <w:lvlJc w:val="left"/>
      <w:pPr>
        <w:tabs>
          <w:tab w:val="num" w:pos="5760"/>
        </w:tabs>
        <w:ind w:left="5760" w:hanging="360"/>
      </w:pPr>
      <w:rPr>
        <w:rFonts w:ascii="Times New Roman" w:hAnsi="Times New Roman" w:hint="default"/>
      </w:rPr>
    </w:lvl>
    <w:lvl w:ilvl="8" w:tplc="1786B67A"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5D071DEC"/>
    <w:multiLevelType w:val="multilevel"/>
    <w:tmpl w:val="E3DA9CF8"/>
    <w:lvl w:ilvl="0">
      <w:start w:val="1"/>
      <w:numFmt w:val="decimal"/>
      <w:lvlText w:val="%1."/>
      <w:lvlJc w:val="left"/>
      <w:pPr>
        <w:ind w:left="720" w:hanging="360"/>
      </w:pPr>
      <w:rPr>
        <w:rFonts w:hint="default"/>
        <w:b/>
      </w:rPr>
    </w:lvl>
    <w:lvl w:ilvl="1">
      <w:start w:val="1"/>
      <w:numFmt w:val="decimal"/>
      <w:isLgl/>
      <w:lvlText w:val="%1.%2"/>
      <w:lvlJc w:val="left"/>
      <w:pPr>
        <w:ind w:left="840" w:hanging="480"/>
      </w:pPr>
      <w:rPr>
        <w:rFonts w:hint="default"/>
        <w:b/>
        <w:color w:val="auto"/>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440" w:hanging="1080"/>
      </w:pPr>
      <w:rPr>
        <w:rFonts w:hint="default"/>
        <w:b/>
        <w:color w:val="auto"/>
      </w:rPr>
    </w:lvl>
    <w:lvl w:ilvl="4">
      <w:start w:val="1"/>
      <w:numFmt w:val="decimal"/>
      <w:isLgl/>
      <w:lvlText w:val="%1.%2.%3.%4.%5"/>
      <w:lvlJc w:val="left"/>
      <w:pPr>
        <w:ind w:left="1440" w:hanging="1080"/>
      </w:pPr>
      <w:rPr>
        <w:rFonts w:hint="default"/>
        <w:b/>
        <w:color w:val="auto"/>
      </w:rPr>
    </w:lvl>
    <w:lvl w:ilvl="5">
      <w:start w:val="1"/>
      <w:numFmt w:val="decimal"/>
      <w:isLgl/>
      <w:lvlText w:val="%1.%2.%3.%4.%5.%6"/>
      <w:lvlJc w:val="left"/>
      <w:pPr>
        <w:ind w:left="1800" w:hanging="1440"/>
      </w:pPr>
      <w:rPr>
        <w:rFonts w:hint="default"/>
        <w:b/>
        <w:color w:val="auto"/>
      </w:rPr>
    </w:lvl>
    <w:lvl w:ilvl="6">
      <w:start w:val="1"/>
      <w:numFmt w:val="decimal"/>
      <w:isLgl/>
      <w:lvlText w:val="%1.%2.%3.%4.%5.%6.%7"/>
      <w:lvlJc w:val="left"/>
      <w:pPr>
        <w:ind w:left="1800" w:hanging="1440"/>
      </w:pPr>
      <w:rPr>
        <w:rFonts w:hint="default"/>
        <w:b/>
        <w:color w:val="auto"/>
      </w:rPr>
    </w:lvl>
    <w:lvl w:ilvl="7">
      <w:start w:val="1"/>
      <w:numFmt w:val="decimal"/>
      <w:isLgl/>
      <w:lvlText w:val="%1.%2.%3.%4.%5.%6.%7.%8"/>
      <w:lvlJc w:val="left"/>
      <w:pPr>
        <w:ind w:left="2160" w:hanging="1800"/>
      </w:pPr>
      <w:rPr>
        <w:rFonts w:hint="default"/>
        <w:b/>
        <w:color w:val="auto"/>
      </w:rPr>
    </w:lvl>
    <w:lvl w:ilvl="8">
      <w:start w:val="1"/>
      <w:numFmt w:val="decimal"/>
      <w:isLgl/>
      <w:lvlText w:val="%1.%2.%3.%4.%5.%6.%7.%8.%9"/>
      <w:lvlJc w:val="left"/>
      <w:pPr>
        <w:ind w:left="2160" w:hanging="1800"/>
      </w:pPr>
      <w:rPr>
        <w:rFonts w:hint="default"/>
        <w:b/>
        <w:color w:val="auto"/>
      </w:rPr>
    </w:lvl>
  </w:abstractNum>
  <w:abstractNum w:abstractNumId="22" w15:restartNumberingAfterBreak="0">
    <w:nsid w:val="5ED025C5"/>
    <w:multiLevelType w:val="hybridMultilevel"/>
    <w:tmpl w:val="9C8E65C8"/>
    <w:lvl w:ilvl="0" w:tplc="76620726">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6CD1296"/>
    <w:multiLevelType w:val="hybridMultilevel"/>
    <w:tmpl w:val="29120924"/>
    <w:lvl w:ilvl="0" w:tplc="240A0001">
      <w:start w:val="1"/>
      <w:numFmt w:val="bullet"/>
      <w:lvlText w:val=""/>
      <w:lvlJc w:val="left"/>
      <w:pPr>
        <w:ind w:left="720" w:hanging="360"/>
      </w:pPr>
      <w:rPr>
        <w:rFonts w:ascii="Symbol" w:hAnsi="Symbol" w:hint="default"/>
      </w:rPr>
    </w:lvl>
    <w:lvl w:ilvl="1" w:tplc="09F2D286">
      <w:numFmt w:val="bullet"/>
      <w:lvlText w:val="•"/>
      <w:lvlJc w:val="left"/>
      <w:pPr>
        <w:ind w:left="1785" w:hanging="705"/>
      </w:pPr>
      <w:rPr>
        <w:rFonts w:ascii="Arial" w:eastAsiaTheme="minorHAnsi"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AF923BE"/>
    <w:multiLevelType w:val="hybridMultilevel"/>
    <w:tmpl w:val="C99E6416"/>
    <w:lvl w:ilvl="0" w:tplc="20EECFEA">
      <w:start w:val="1"/>
      <w:numFmt w:val="bullet"/>
      <w:lvlText w:val="•"/>
      <w:lvlJc w:val="left"/>
      <w:pPr>
        <w:tabs>
          <w:tab w:val="num" w:pos="720"/>
        </w:tabs>
        <w:ind w:left="720" w:hanging="360"/>
      </w:pPr>
      <w:rPr>
        <w:rFonts w:ascii="Times New Roman" w:hAnsi="Times New Roman" w:hint="default"/>
      </w:rPr>
    </w:lvl>
    <w:lvl w:ilvl="1" w:tplc="DB6E835A" w:tentative="1">
      <w:start w:val="1"/>
      <w:numFmt w:val="bullet"/>
      <w:lvlText w:val="•"/>
      <w:lvlJc w:val="left"/>
      <w:pPr>
        <w:tabs>
          <w:tab w:val="num" w:pos="1440"/>
        </w:tabs>
        <w:ind w:left="1440" w:hanging="360"/>
      </w:pPr>
      <w:rPr>
        <w:rFonts w:ascii="Times New Roman" w:hAnsi="Times New Roman" w:hint="default"/>
      </w:rPr>
    </w:lvl>
    <w:lvl w:ilvl="2" w:tplc="8EAE3520" w:tentative="1">
      <w:start w:val="1"/>
      <w:numFmt w:val="bullet"/>
      <w:lvlText w:val="•"/>
      <w:lvlJc w:val="left"/>
      <w:pPr>
        <w:tabs>
          <w:tab w:val="num" w:pos="2160"/>
        </w:tabs>
        <w:ind w:left="2160" w:hanging="360"/>
      </w:pPr>
      <w:rPr>
        <w:rFonts w:ascii="Times New Roman" w:hAnsi="Times New Roman" w:hint="default"/>
      </w:rPr>
    </w:lvl>
    <w:lvl w:ilvl="3" w:tplc="6F5A4AF2" w:tentative="1">
      <w:start w:val="1"/>
      <w:numFmt w:val="bullet"/>
      <w:lvlText w:val="•"/>
      <w:lvlJc w:val="left"/>
      <w:pPr>
        <w:tabs>
          <w:tab w:val="num" w:pos="2880"/>
        </w:tabs>
        <w:ind w:left="2880" w:hanging="360"/>
      </w:pPr>
      <w:rPr>
        <w:rFonts w:ascii="Times New Roman" w:hAnsi="Times New Roman" w:hint="default"/>
      </w:rPr>
    </w:lvl>
    <w:lvl w:ilvl="4" w:tplc="A2BE04CE" w:tentative="1">
      <w:start w:val="1"/>
      <w:numFmt w:val="bullet"/>
      <w:lvlText w:val="•"/>
      <w:lvlJc w:val="left"/>
      <w:pPr>
        <w:tabs>
          <w:tab w:val="num" w:pos="3600"/>
        </w:tabs>
        <w:ind w:left="3600" w:hanging="360"/>
      </w:pPr>
      <w:rPr>
        <w:rFonts w:ascii="Times New Roman" w:hAnsi="Times New Roman" w:hint="default"/>
      </w:rPr>
    </w:lvl>
    <w:lvl w:ilvl="5" w:tplc="CD98C014" w:tentative="1">
      <w:start w:val="1"/>
      <w:numFmt w:val="bullet"/>
      <w:lvlText w:val="•"/>
      <w:lvlJc w:val="left"/>
      <w:pPr>
        <w:tabs>
          <w:tab w:val="num" w:pos="4320"/>
        </w:tabs>
        <w:ind w:left="4320" w:hanging="360"/>
      </w:pPr>
      <w:rPr>
        <w:rFonts w:ascii="Times New Roman" w:hAnsi="Times New Roman" w:hint="default"/>
      </w:rPr>
    </w:lvl>
    <w:lvl w:ilvl="6" w:tplc="4E1CE186" w:tentative="1">
      <w:start w:val="1"/>
      <w:numFmt w:val="bullet"/>
      <w:lvlText w:val="•"/>
      <w:lvlJc w:val="left"/>
      <w:pPr>
        <w:tabs>
          <w:tab w:val="num" w:pos="5040"/>
        </w:tabs>
        <w:ind w:left="5040" w:hanging="360"/>
      </w:pPr>
      <w:rPr>
        <w:rFonts w:ascii="Times New Roman" w:hAnsi="Times New Roman" w:hint="default"/>
      </w:rPr>
    </w:lvl>
    <w:lvl w:ilvl="7" w:tplc="96C6CFAA" w:tentative="1">
      <w:start w:val="1"/>
      <w:numFmt w:val="bullet"/>
      <w:lvlText w:val="•"/>
      <w:lvlJc w:val="left"/>
      <w:pPr>
        <w:tabs>
          <w:tab w:val="num" w:pos="5760"/>
        </w:tabs>
        <w:ind w:left="5760" w:hanging="360"/>
      </w:pPr>
      <w:rPr>
        <w:rFonts w:ascii="Times New Roman" w:hAnsi="Times New Roman" w:hint="default"/>
      </w:rPr>
    </w:lvl>
    <w:lvl w:ilvl="8" w:tplc="5C661B9E"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742F0BF6"/>
    <w:multiLevelType w:val="hybridMultilevel"/>
    <w:tmpl w:val="3A52B4BC"/>
    <w:lvl w:ilvl="0" w:tplc="B344C766">
      <w:numFmt w:val="bullet"/>
      <w:lvlText w:val="•"/>
      <w:lvlJc w:val="left"/>
      <w:pPr>
        <w:ind w:left="1785" w:hanging="705"/>
      </w:pPr>
      <w:rPr>
        <w:rFonts w:ascii="Arial" w:eastAsiaTheme="minorHAnsi" w:hAnsi="Arial" w:cs="Aria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6" w15:restartNumberingAfterBreak="0">
    <w:nsid w:val="757F6B39"/>
    <w:multiLevelType w:val="hybridMultilevel"/>
    <w:tmpl w:val="53266C92"/>
    <w:lvl w:ilvl="0" w:tplc="A70E5B68">
      <w:start w:val="1"/>
      <w:numFmt w:val="decimal"/>
      <w:lvlText w:val="%1."/>
      <w:lvlJc w:val="left"/>
      <w:pPr>
        <w:ind w:left="720" w:hanging="360"/>
      </w:pPr>
      <w:rPr>
        <w:rFonts w:ascii="Arial" w:hAnsi="Arial" w:cs="Aria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778E474D"/>
    <w:multiLevelType w:val="hybridMultilevel"/>
    <w:tmpl w:val="521C5ED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94936C2"/>
    <w:multiLevelType w:val="hybridMultilevel"/>
    <w:tmpl w:val="B83A311A"/>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9" w15:restartNumberingAfterBreak="0">
    <w:nsid w:val="7A987983"/>
    <w:multiLevelType w:val="hybridMultilevel"/>
    <w:tmpl w:val="45EE1FB6"/>
    <w:lvl w:ilvl="0" w:tplc="339676C8">
      <w:start w:val="1"/>
      <w:numFmt w:val="decimal"/>
      <w:lvlText w:val="(%1)"/>
      <w:lvlJc w:val="left"/>
      <w:pPr>
        <w:ind w:left="463" w:hanging="360"/>
      </w:pPr>
      <w:rPr>
        <w:rFonts w:hint="default"/>
      </w:rPr>
    </w:lvl>
    <w:lvl w:ilvl="1" w:tplc="240A0019" w:tentative="1">
      <w:start w:val="1"/>
      <w:numFmt w:val="lowerLetter"/>
      <w:lvlText w:val="%2."/>
      <w:lvlJc w:val="left"/>
      <w:pPr>
        <w:ind w:left="1183" w:hanging="360"/>
      </w:pPr>
    </w:lvl>
    <w:lvl w:ilvl="2" w:tplc="240A001B" w:tentative="1">
      <w:start w:val="1"/>
      <w:numFmt w:val="lowerRoman"/>
      <w:lvlText w:val="%3."/>
      <w:lvlJc w:val="right"/>
      <w:pPr>
        <w:ind w:left="1903" w:hanging="180"/>
      </w:pPr>
    </w:lvl>
    <w:lvl w:ilvl="3" w:tplc="240A000F" w:tentative="1">
      <w:start w:val="1"/>
      <w:numFmt w:val="decimal"/>
      <w:lvlText w:val="%4."/>
      <w:lvlJc w:val="left"/>
      <w:pPr>
        <w:ind w:left="2623" w:hanging="360"/>
      </w:pPr>
    </w:lvl>
    <w:lvl w:ilvl="4" w:tplc="240A0019" w:tentative="1">
      <w:start w:val="1"/>
      <w:numFmt w:val="lowerLetter"/>
      <w:lvlText w:val="%5."/>
      <w:lvlJc w:val="left"/>
      <w:pPr>
        <w:ind w:left="3343" w:hanging="360"/>
      </w:pPr>
    </w:lvl>
    <w:lvl w:ilvl="5" w:tplc="240A001B" w:tentative="1">
      <w:start w:val="1"/>
      <w:numFmt w:val="lowerRoman"/>
      <w:lvlText w:val="%6."/>
      <w:lvlJc w:val="right"/>
      <w:pPr>
        <w:ind w:left="4063" w:hanging="180"/>
      </w:pPr>
    </w:lvl>
    <w:lvl w:ilvl="6" w:tplc="240A000F" w:tentative="1">
      <w:start w:val="1"/>
      <w:numFmt w:val="decimal"/>
      <w:lvlText w:val="%7."/>
      <w:lvlJc w:val="left"/>
      <w:pPr>
        <w:ind w:left="4783" w:hanging="360"/>
      </w:pPr>
    </w:lvl>
    <w:lvl w:ilvl="7" w:tplc="240A0019" w:tentative="1">
      <w:start w:val="1"/>
      <w:numFmt w:val="lowerLetter"/>
      <w:lvlText w:val="%8."/>
      <w:lvlJc w:val="left"/>
      <w:pPr>
        <w:ind w:left="5503" w:hanging="360"/>
      </w:pPr>
    </w:lvl>
    <w:lvl w:ilvl="8" w:tplc="240A001B" w:tentative="1">
      <w:start w:val="1"/>
      <w:numFmt w:val="lowerRoman"/>
      <w:lvlText w:val="%9."/>
      <w:lvlJc w:val="right"/>
      <w:pPr>
        <w:ind w:left="6223" w:hanging="180"/>
      </w:pPr>
    </w:lvl>
  </w:abstractNum>
  <w:abstractNum w:abstractNumId="30" w15:restartNumberingAfterBreak="0">
    <w:nsid w:val="7E3A5151"/>
    <w:multiLevelType w:val="hybridMultilevel"/>
    <w:tmpl w:val="9B3843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7"/>
  </w:num>
  <w:num w:numId="2">
    <w:abstractNumId w:val="26"/>
  </w:num>
  <w:num w:numId="3">
    <w:abstractNumId w:val="16"/>
  </w:num>
  <w:num w:numId="4">
    <w:abstractNumId w:val="19"/>
  </w:num>
  <w:num w:numId="5">
    <w:abstractNumId w:val="7"/>
  </w:num>
  <w:num w:numId="6">
    <w:abstractNumId w:val="28"/>
  </w:num>
  <w:num w:numId="7">
    <w:abstractNumId w:val="27"/>
  </w:num>
  <w:num w:numId="8">
    <w:abstractNumId w:val="15"/>
  </w:num>
  <w:num w:numId="9">
    <w:abstractNumId w:val="5"/>
  </w:num>
  <w:num w:numId="10">
    <w:abstractNumId w:val="8"/>
  </w:num>
  <w:num w:numId="11">
    <w:abstractNumId w:val="9"/>
  </w:num>
  <w:num w:numId="12">
    <w:abstractNumId w:val="18"/>
  </w:num>
  <w:num w:numId="13">
    <w:abstractNumId w:val="12"/>
  </w:num>
  <w:num w:numId="14">
    <w:abstractNumId w:val="4"/>
  </w:num>
  <w:num w:numId="15">
    <w:abstractNumId w:val="30"/>
  </w:num>
  <w:num w:numId="16">
    <w:abstractNumId w:val="23"/>
  </w:num>
  <w:num w:numId="17">
    <w:abstractNumId w:val="11"/>
  </w:num>
  <w:num w:numId="18">
    <w:abstractNumId w:val="25"/>
  </w:num>
  <w:num w:numId="19">
    <w:abstractNumId w:val="14"/>
  </w:num>
  <w:num w:numId="20">
    <w:abstractNumId w:val="21"/>
  </w:num>
  <w:num w:numId="21">
    <w:abstractNumId w:val="24"/>
  </w:num>
  <w:num w:numId="22">
    <w:abstractNumId w:val="3"/>
  </w:num>
  <w:num w:numId="23">
    <w:abstractNumId w:val="20"/>
  </w:num>
  <w:num w:numId="24">
    <w:abstractNumId w:val="1"/>
  </w:num>
  <w:num w:numId="25">
    <w:abstractNumId w:val="29"/>
  </w:num>
  <w:num w:numId="26">
    <w:abstractNumId w:val="2"/>
  </w:num>
  <w:num w:numId="27">
    <w:abstractNumId w:val="10"/>
  </w:num>
  <w:num w:numId="28">
    <w:abstractNumId w:val="6"/>
  </w:num>
  <w:num w:numId="29">
    <w:abstractNumId w:val="0"/>
  </w:num>
  <w:num w:numId="30">
    <w:abstractNumId w:val="13"/>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0E8"/>
    <w:rsid w:val="00006C81"/>
    <w:rsid w:val="00016835"/>
    <w:rsid w:val="00021BE2"/>
    <w:rsid w:val="00033EAE"/>
    <w:rsid w:val="00034DD6"/>
    <w:rsid w:val="0003687B"/>
    <w:rsid w:val="00045476"/>
    <w:rsid w:val="00045937"/>
    <w:rsid w:val="00053856"/>
    <w:rsid w:val="00053BCD"/>
    <w:rsid w:val="00054571"/>
    <w:rsid w:val="00062929"/>
    <w:rsid w:val="0006509D"/>
    <w:rsid w:val="0007165A"/>
    <w:rsid w:val="00074E6F"/>
    <w:rsid w:val="00087CB9"/>
    <w:rsid w:val="000B1CEF"/>
    <w:rsid w:val="000C5340"/>
    <w:rsid w:val="000D085D"/>
    <w:rsid w:val="000D3195"/>
    <w:rsid w:val="000D5DE9"/>
    <w:rsid w:val="000E5ED7"/>
    <w:rsid w:val="000F7D29"/>
    <w:rsid w:val="0010094B"/>
    <w:rsid w:val="00104D25"/>
    <w:rsid w:val="0010608F"/>
    <w:rsid w:val="00113094"/>
    <w:rsid w:val="0011545A"/>
    <w:rsid w:val="00146E0C"/>
    <w:rsid w:val="00151716"/>
    <w:rsid w:val="00153A98"/>
    <w:rsid w:val="00154B77"/>
    <w:rsid w:val="00155B29"/>
    <w:rsid w:val="0016515B"/>
    <w:rsid w:val="00165E3C"/>
    <w:rsid w:val="00175015"/>
    <w:rsid w:val="001776BA"/>
    <w:rsid w:val="00191E60"/>
    <w:rsid w:val="001950CD"/>
    <w:rsid w:val="001A0D14"/>
    <w:rsid w:val="001A75A6"/>
    <w:rsid w:val="001C1147"/>
    <w:rsid w:val="001C4F10"/>
    <w:rsid w:val="001D7296"/>
    <w:rsid w:val="001E5F6E"/>
    <w:rsid w:val="001F25D2"/>
    <w:rsid w:val="001F29CF"/>
    <w:rsid w:val="00211AA5"/>
    <w:rsid w:val="0021216E"/>
    <w:rsid w:val="00213D4F"/>
    <w:rsid w:val="0022019F"/>
    <w:rsid w:val="00220A21"/>
    <w:rsid w:val="002242FB"/>
    <w:rsid w:val="00226321"/>
    <w:rsid w:val="00227335"/>
    <w:rsid w:val="00230420"/>
    <w:rsid w:val="00243C37"/>
    <w:rsid w:val="00261EFE"/>
    <w:rsid w:val="002704F0"/>
    <w:rsid w:val="00272ECC"/>
    <w:rsid w:val="002736EC"/>
    <w:rsid w:val="0028342F"/>
    <w:rsid w:val="002866E1"/>
    <w:rsid w:val="002A066D"/>
    <w:rsid w:val="002A5C54"/>
    <w:rsid w:val="002A6080"/>
    <w:rsid w:val="002A6807"/>
    <w:rsid w:val="002A7C18"/>
    <w:rsid w:val="002A7CCF"/>
    <w:rsid w:val="002B0D8A"/>
    <w:rsid w:val="002C619E"/>
    <w:rsid w:val="002D6A05"/>
    <w:rsid w:val="002E24FB"/>
    <w:rsid w:val="002E3462"/>
    <w:rsid w:val="002E5B70"/>
    <w:rsid w:val="003074C4"/>
    <w:rsid w:val="00307CBC"/>
    <w:rsid w:val="00310062"/>
    <w:rsid w:val="00311887"/>
    <w:rsid w:val="00322E77"/>
    <w:rsid w:val="003330DA"/>
    <w:rsid w:val="0034300F"/>
    <w:rsid w:val="00352FF9"/>
    <w:rsid w:val="00363C08"/>
    <w:rsid w:val="0036474A"/>
    <w:rsid w:val="003737D4"/>
    <w:rsid w:val="00374FE2"/>
    <w:rsid w:val="00376F54"/>
    <w:rsid w:val="00376FCC"/>
    <w:rsid w:val="0038146A"/>
    <w:rsid w:val="003844D9"/>
    <w:rsid w:val="00386D3C"/>
    <w:rsid w:val="00392D33"/>
    <w:rsid w:val="0039633B"/>
    <w:rsid w:val="003A6863"/>
    <w:rsid w:val="003C511E"/>
    <w:rsid w:val="003C612F"/>
    <w:rsid w:val="003D075D"/>
    <w:rsid w:val="003D07D8"/>
    <w:rsid w:val="003E1001"/>
    <w:rsid w:val="003E50C7"/>
    <w:rsid w:val="003E5598"/>
    <w:rsid w:val="003E6F7C"/>
    <w:rsid w:val="003F48E5"/>
    <w:rsid w:val="0040080C"/>
    <w:rsid w:val="004109D3"/>
    <w:rsid w:val="004121C2"/>
    <w:rsid w:val="0041313F"/>
    <w:rsid w:val="00413B57"/>
    <w:rsid w:val="00416BFE"/>
    <w:rsid w:val="00420D10"/>
    <w:rsid w:val="00426A7F"/>
    <w:rsid w:val="0043104F"/>
    <w:rsid w:val="00435354"/>
    <w:rsid w:val="00436BFF"/>
    <w:rsid w:val="00447B76"/>
    <w:rsid w:val="0045133B"/>
    <w:rsid w:val="004549A2"/>
    <w:rsid w:val="00454FB7"/>
    <w:rsid w:val="004559AF"/>
    <w:rsid w:val="00456FB3"/>
    <w:rsid w:val="004841B8"/>
    <w:rsid w:val="00491EDA"/>
    <w:rsid w:val="004A4F0C"/>
    <w:rsid w:val="004A7CDF"/>
    <w:rsid w:val="004B252D"/>
    <w:rsid w:val="004D185F"/>
    <w:rsid w:val="004E1F8D"/>
    <w:rsid w:val="004E3E13"/>
    <w:rsid w:val="004E4FDA"/>
    <w:rsid w:val="004F1164"/>
    <w:rsid w:val="004F3143"/>
    <w:rsid w:val="004F3C65"/>
    <w:rsid w:val="004F723B"/>
    <w:rsid w:val="005115F7"/>
    <w:rsid w:val="00517DD5"/>
    <w:rsid w:val="00520317"/>
    <w:rsid w:val="005249BE"/>
    <w:rsid w:val="00525149"/>
    <w:rsid w:val="005357A8"/>
    <w:rsid w:val="00540DA6"/>
    <w:rsid w:val="00542545"/>
    <w:rsid w:val="00544109"/>
    <w:rsid w:val="0055354A"/>
    <w:rsid w:val="00554964"/>
    <w:rsid w:val="00556272"/>
    <w:rsid w:val="00564CAD"/>
    <w:rsid w:val="00572213"/>
    <w:rsid w:val="00574A0C"/>
    <w:rsid w:val="00582C1E"/>
    <w:rsid w:val="00591B3A"/>
    <w:rsid w:val="005A3B4F"/>
    <w:rsid w:val="005B1901"/>
    <w:rsid w:val="005B7AAE"/>
    <w:rsid w:val="005C28A4"/>
    <w:rsid w:val="005D2A7A"/>
    <w:rsid w:val="005D2D28"/>
    <w:rsid w:val="005E1A38"/>
    <w:rsid w:val="005E68A2"/>
    <w:rsid w:val="005F040F"/>
    <w:rsid w:val="005F4872"/>
    <w:rsid w:val="005F7247"/>
    <w:rsid w:val="0060482C"/>
    <w:rsid w:val="00620865"/>
    <w:rsid w:val="00620CD9"/>
    <w:rsid w:val="00622706"/>
    <w:rsid w:val="00622BDA"/>
    <w:rsid w:val="00630B7C"/>
    <w:rsid w:val="00635A46"/>
    <w:rsid w:val="00642C37"/>
    <w:rsid w:val="006701F0"/>
    <w:rsid w:val="0067037F"/>
    <w:rsid w:val="00672B70"/>
    <w:rsid w:val="0068248F"/>
    <w:rsid w:val="0069036D"/>
    <w:rsid w:val="00693238"/>
    <w:rsid w:val="006961BC"/>
    <w:rsid w:val="006A0FC3"/>
    <w:rsid w:val="006A3D14"/>
    <w:rsid w:val="006A465B"/>
    <w:rsid w:val="006A4B1B"/>
    <w:rsid w:val="006B4AB3"/>
    <w:rsid w:val="006C3F73"/>
    <w:rsid w:val="006C5B42"/>
    <w:rsid w:val="006C78C8"/>
    <w:rsid w:val="006E1092"/>
    <w:rsid w:val="006E677F"/>
    <w:rsid w:val="006F0729"/>
    <w:rsid w:val="006F587A"/>
    <w:rsid w:val="0070331E"/>
    <w:rsid w:val="0070549D"/>
    <w:rsid w:val="00707D6C"/>
    <w:rsid w:val="00712C77"/>
    <w:rsid w:val="00725A37"/>
    <w:rsid w:val="0073423B"/>
    <w:rsid w:val="0073624D"/>
    <w:rsid w:val="00742060"/>
    <w:rsid w:val="0074722D"/>
    <w:rsid w:val="0075016E"/>
    <w:rsid w:val="007515BC"/>
    <w:rsid w:val="007724E6"/>
    <w:rsid w:val="0077775A"/>
    <w:rsid w:val="00780FFE"/>
    <w:rsid w:val="007844ED"/>
    <w:rsid w:val="00785867"/>
    <w:rsid w:val="007862D0"/>
    <w:rsid w:val="00792926"/>
    <w:rsid w:val="007952D4"/>
    <w:rsid w:val="007A111D"/>
    <w:rsid w:val="007A1D1F"/>
    <w:rsid w:val="007B37EA"/>
    <w:rsid w:val="007C58BE"/>
    <w:rsid w:val="007C66CC"/>
    <w:rsid w:val="007D6A38"/>
    <w:rsid w:val="007E2F88"/>
    <w:rsid w:val="007F5402"/>
    <w:rsid w:val="007F63B7"/>
    <w:rsid w:val="008001F9"/>
    <w:rsid w:val="00801F04"/>
    <w:rsid w:val="00803CC9"/>
    <w:rsid w:val="008052F3"/>
    <w:rsid w:val="00807BA1"/>
    <w:rsid w:val="00810F38"/>
    <w:rsid w:val="00814B76"/>
    <w:rsid w:val="00817187"/>
    <w:rsid w:val="00826109"/>
    <w:rsid w:val="00830E76"/>
    <w:rsid w:val="008339EF"/>
    <w:rsid w:val="008359B4"/>
    <w:rsid w:val="0084148B"/>
    <w:rsid w:val="00845117"/>
    <w:rsid w:val="00850A46"/>
    <w:rsid w:val="0086258D"/>
    <w:rsid w:val="008630F3"/>
    <w:rsid w:val="008769AB"/>
    <w:rsid w:val="00883B2B"/>
    <w:rsid w:val="00885AE5"/>
    <w:rsid w:val="008916FB"/>
    <w:rsid w:val="008A4470"/>
    <w:rsid w:val="008A4566"/>
    <w:rsid w:val="008B0371"/>
    <w:rsid w:val="008B05D9"/>
    <w:rsid w:val="008B5E22"/>
    <w:rsid w:val="008C451D"/>
    <w:rsid w:val="008D0898"/>
    <w:rsid w:val="008D5A61"/>
    <w:rsid w:val="008E5F12"/>
    <w:rsid w:val="0090160A"/>
    <w:rsid w:val="00901E3D"/>
    <w:rsid w:val="0091283B"/>
    <w:rsid w:val="00913CD8"/>
    <w:rsid w:val="00916CC2"/>
    <w:rsid w:val="00922232"/>
    <w:rsid w:val="00937DC1"/>
    <w:rsid w:val="009428B3"/>
    <w:rsid w:val="00946F11"/>
    <w:rsid w:val="0096786E"/>
    <w:rsid w:val="00974EFF"/>
    <w:rsid w:val="00980FD2"/>
    <w:rsid w:val="009829AC"/>
    <w:rsid w:val="009958CE"/>
    <w:rsid w:val="009B0E69"/>
    <w:rsid w:val="009B2879"/>
    <w:rsid w:val="009B43F1"/>
    <w:rsid w:val="009C61FC"/>
    <w:rsid w:val="009C66AB"/>
    <w:rsid w:val="009D0409"/>
    <w:rsid w:val="009D168A"/>
    <w:rsid w:val="009D2361"/>
    <w:rsid w:val="009D31BD"/>
    <w:rsid w:val="009D3CA5"/>
    <w:rsid w:val="009D4815"/>
    <w:rsid w:val="009D50F0"/>
    <w:rsid w:val="009F0B79"/>
    <w:rsid w:val="00A01207"/>
    <w:rsid w:val="00A13386"/>
    <w:rsid w:val="00A13C6B"/>
    <w:rsid w:val="00A17257"/>
    <w:rsid w:val="00A17337"/>
    <w:rsid w:val="00A204F4"/>
    <w:rsid w:val="00A24277"/>
    <w:rsid w:val="00A243A7"/>
    <w:rsid w:val="00A25495"/>
    <w:rsid w:val="00A31D41"/>
    <w:rsid w:val="00A34B90"/>
    <w:rsid w:val="00A370E7"/>
    <w:rsid w:val="00A37621"/>
    <w:rsid w:val="00A41B6C"/>
    <w:rsid w:val="00A4275F"/>
    <w:rsid w:val="00A4768F"/>
    <w:rsid w:val="00A5123C"/>
    <w:rsid w:val="00A6105C"/>
    <w:rsid w:val="00A6177D"/>
    <w:rsid w:val="00A66D1D"/>
    <w:rsid w:val="00A70350"/>
    <w:rsid w:val="00A70886"/>
    <w:rsid w:val="00A735BE"/>
    <w:rsid w:val="00A75683"/>
    <w:rsid w:val="00A77B0E"/>
    <w:rsid w:val="00A80634"/>
    <w:rsid w:val="00A81044"/>
    <w:rsid w:val="00A92F86"/>
    <w:rsid w:val="00AA3A52"/>
    <w:rsid w:val="00AB18FA"/>
    <w:rsid w:val="00AB709D"/>
    <w:rsid w:val="00AC45C5"/>
    <w:rsid w:val="00AE01EB"/>
    <w:rsid w:val="00B0360C"/>
    <w:rsid w:val="00B1110D"/>
    <w:rsid w:val="00B1147C"/>
    <w:rsid w:val="00B11B84"/>
    <w:rsid w:val="00B16D4D"/>
    <w:rsid w:val="00B335FB"/>
    <w:rsid w:val="00B34EDE"/>
    <w:rsid w:val="00B570AD"/>
    <w:rsid w:val="00B71707"/>
    <w:rsid w:val="00BA6926"/>
    <w:rsid w:val="00BC12AF"/>
    <w:rsid w:val="00BC36FE"/>
    <w:rsid w:val="00BC4A5E"/>
    <w:rsid w:val="00BC77AA"/>
    <w:rsid w:val="00BD1588"/>
    <w:rsid w:val="00BD2051"/>
    <w:rsid w:val="00BD4ECE"/>
    <w:rsid w:val="00BE2547"/>
    <w:rsid w:val="00BE7223"/>
    <w:rsid w:val="00C00334"/>
    <w:rsid w:val="00C05CD7"/>
    <w:rsid w:val="00C0616E"/>
    <w:rsid w:val="00C11FB5"/>
    <w:rsid w:val="00C14733"/>
    <w:rsid w:val="00C162AD"/>
    <w:rsid w:val="00C27022"/>
    <w:rsid w:val="00C3016B"/>
    <w:rsid w:val="00C3134A"/>
    <w:rsid w:val="00C31EE3"/>
    <w:rsid w:val="00C335FD"/>
    <w:rsid w:val="00C33B1B"/>
    <w:rsid w:val="00C441AB"/>
    <w:rsid w:val="00C54572"/>
    <w:rsid w:val="00C60881"/>
    <w:rsid w:val="00C62594"/>
    <w:rsid w:val="00C74F92"/>
    <w:rsid w:val="00C81802"/>
    <w:rsid w:val="00C87122"/>
    <w:rsid w:val="00C945FF"/>
    <w:rsid w:val="00C97B2F"/>
    <w:rsid w:val="00CA777D"/>
    <w:rsid w:val="00CB2E7A"/>
    <w:rsid w:val="00CC0024"/>
    <w:rsid w:val="00CC4641"/>
    <w:rsid w:val="00CC4AFF"/>
    <w:rsid w:val="00CC5510"/>
    <w:rsid w:val="00CC5C8B"/>
    <w:rsid w:val="00CD4E29"/>
    <w:rsid w:val="00CD5692"/>
    <w:rsid w:val="00CF4028"/>
    <w:rsid w:val="00CF5F2F"/>
    <w:rsid w:val="00CF60D4"/>
    <w:rsid w:val="00CF6DD8"/>
    <w:rsid w:val="00D00C1A"/>
    <w:rsid w:val="00D03D12"/>
    <w:rsid w:val="00D0426B"/>
    <w:rsid w:val="00D1466B"/>
    <w:rsid w:val="00D20D57"/>
    <w:rsid w:val="00D21B5A"/>
    <w:rsid w:val="00D25B92"/>
    <w:rsid w:val="00D35F0F"/>
    <w:rsid w:val="00D4208E"/>
    <w:rsid w:val="00D4763E"/>
    <w:rsid w:val="00D50633"/>
    <w:rsid w:val="00D51774"/>
    <w:rsid w:val="00D537DF"/>
    <w:rsid w:val="00D60C6F"/>
    <w:rsid w:val="00D63BFD"/>
    <w:rsid w:val="00D63F98"/>
    <w:rsid w:val="00D66100"/>
    <w:rsid w:val="00D76D16"/>
    <w:rsid w:val="00D820E8"/>
    <w:rsid w:val="00D855C7"/>
    <w:rsid w:val="00D9132B"/>
    <w:rsid w:val="00D93715"/>
    <w:rsid w:val="00D94D73"/>
    <w:rsid w:val="00DA6218"/>
    <w:rsid w:val="00DB359B"/>
    <w:rsid w:val="00DB4E87"/>
    <w:rsid w:val="00DC19AB"/>
    <w:rsid w:val="00DC6085"/>
    <w:rsid w:val="00DC6323"/>
    <w:rsid w:val="00DD0458"/>
    <w:rsid w:val="00DD6686"/>
    <w:rsid w:val="00DE779E"/>
    <w:rsid w:val="00DF11CE"/>
    <w:rsid w:val="00DF6E83"/>
    <w:rsid w:val="00E05F4C"/>
    <w:rsid w:val="00E132DA"/>
    <w:rsid w:val="00E335BB"/>
    <w:rsid w:val="00E33843"/>
    <w:rsid w:val="00E34F27"/>
    <w:rsid w:val="00E42D78"/>
    <w:rsid w:val="00E449E2"/>
    <w:rsid w:val="00E45171"/>
    <w:rsid w:val="00E45D75"/>
    <w:rsid w:val="00E51424"/>
    <w:rsid w:val="00E559BC"/>
    <w:rsid w:val="00E57C80"/>
    <w:rsid w:val="00E61866"/>
    <w:rsid w:val="00E71E52"/>
    <w:rsid w:val="00E82DC2"/>
    <w:rsid w:val="00E84253"/>
    <w:rsid w:val="00E84410"/>
    <w:rsid w:val="00E847C2"/>
    <w:rsid w:val="00EA7683"/>
    <w:rsid w:val="00EA79F3"/>
    <w:rsid w:val="00EB3810"/>
    <w:rsid w:val="00EB6776"/>
    <w:rsid w:val="00EC444A"/>
    <w:rsid w:val="00EC6AEF"/>
    <w:rsid w:val="00EC7E7E"/>
    <w:rsid w:val="00ED0F90"/>
    <w:rsid w:val="00ED37CC"/>
    <w:rsid w:val="00ED4195"/>
    <w:rsid w:val="00ED6280"/>
    <w:rsid w:val="00EF0054"/>
    <w:rsid w:val="00EF23F9"/>
    <w:rsid w:val="00EF4744"/>
    <w:rsid w:val="00EF6957"/>
    <w:rsid w:val="00F01AA1"/>
    <w:rsid w:val="00F05535"/>
    <w:rsid w:val="00F102C6"/>
    <w:rsid w:val="00F105DE"/>
    <w:rsid w:val="00F13C85"/>
    <w:rsid w:val="00F17B5B"/>
    <w:rsid w:val="00F22132"/>
    <w:rsid w:val="00F23DD0"/>
    <w:rsid w:val="00F332D5"/>
    <w:rsid w:val="00F35C26"/>
    <w:rsid w:val="00F40D5D"/>
    <w:rsid w:val="00F658B7"/>
    <w:rsid w:val="00F73B0F"/>
    <w:rsid w:val="00F73F47"/>
    <w:rsid w:val="00F74EF3"/>
    <w:rsid w:val="00F83CB6"/>
    <w:rsid w:val="00F914A3"/>
    <w:rsid w:val="00F92811"/>
    <w:rsid w:val="00F94457"/>
    <w:rsid w:val="00FB3050"/>
    <w:rsid w:val="00FB3650"/>
    <w:rsid w:val="00FB3BAF"/>
    <w:rsid w:val="00FC000C"/>
    <w:rsid w:val="00FC0F88"/>
    <w:rsid w:val="00FC49EE"/>
    <w:rsid w:val="00FD4D0B"/>
    <w:rsid w:val="00FD5414"/>
    <w:rsid w:val="00FD63DE"/>
    <w:rsid w:val="00FE29DA"/>
    <w:rsid w:val="00FE337B"/>
    <w:rsid w:val="00FF2FDC"/>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6145"/>
    <o:shapelayout v:ext="edit">
      <o:idmap v:ext="edit" data="1"/>
    </o:shapelayout>
  </w:shapeDefaults>
  <w:decimalSymbol w:val=","/>
  <w:listSeparator w:val=";"/>
  <w14:docId w14:val="138614C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3BAF"/>
    <w:pPr>
      <w:spacing w:after="0" w:line="240" w:lineRule="auto"/>
    </w:pPr>
    <w:rPr>
      <w:rFonts w:ascii="Times New Roman" w:hAnsi="Times New Roman" w:cs="Times New Roman"/>
      <w:sz w:val="24"/>
      <w:szCs w:val="24"/>
      <w:lang w:val="es-ES_tradnl" w:eastAsia="es-ES_tradnl"/>
    </w:rPr>
  </w:style>
  <w:style w:type="paragraph" w:styleId="Ttulo3">
    <w:name w:val="heading 3"/>
    <w:basedOn w:val="Normal"/>
    <w:next w:val="Normal"/>
    <w:link w:val="Ttulo3Car"/>
    <w:uiPriority w:val="9"/>
    <w:semiHidden/>
    <w:unhideWhenUsed/>
    <w:qFormat/>
    <w:rsid w:val="00817187"/>
    <w:pPr>
      <w:keepNext/>
      <w:keepLines/>
      <w:spacing w:before="200" w:line="276" w:lineRule="auto"/>
      <w:outlineLvl w:val="2"/>
    </w:pPr>
    <w:rPr>
      <w:rFonts w:asciiTheme="majorHAnsi" w:eastAsiaTheme="majorEastAsia" w:hAnsiTheme="majorHAnsi" w:cstheme="majorBidi"/>
      <w:b/>
      <w:b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820E8"/>
    <w:pPr>
      <w:tabs>
        <w:tab w:val="center" w:pos="4419"/>
        <w:tab w:val="right" w:pos="8838"/>
      </w:tabs>
    </w:pPr>
  </w:style>
  <w:style w:type="character" w:customStyle="1" w:styleId="EncabezadoCar">
    <w:name w:val="Encabezado Car"/>
    <w:basedOn w:val="Fuentedeprrafopredeter"/>
    <w:link w:val="Encabezado"/>
    <w:uiPriority w:val="99"/>
    <w:rsid w:val="00D820E8"/>
  </w:style>
  <w:style w:type="paragraph" w:styleId="Piedepgina">
    <w:name w:val="footer"/>
    <w:basedOn w:val="Normal"/>
    <w:link w:val="PiedepginaCar"/>
    <w:uiPriority w:val="99"/>
    <w:unhideWhenUsed/>
    <w:rsid w:val="00D820E8"/>
    <w:pPr>
      <w:tabs>
        <w:tab w:val="center" w:pos="4419"/>
        <w:tab w:val="right" w:pos="8838"/>
      </w:tabs>
    </w:pPr>
  </w:style>
  <w:style w:type="character" w:customStyle="1" w:styleId="PiedepginaCar">
    <w:name w:val="Pie de página Car"/>
    <w:basedOn w:val="Fuentedeprrafopredeter"/>
    <w:link w:val="Piedepgina"/>
    <w:uiPriority w:val="99"/>
    <w:rsid w:val="00D820E8"/>
  </w:style>
  <w:style w:type="paragraph" w:styleId="Sinespaciado">
    <w:name w:val="No Spacing"/>
    <w:uiPriority w:val="1"/>
    <w:qFormat/>
    <w:rsid w:val="00D820E8"/>
    <w:pPr>
      <w:spacing w:after="0" w:line="240" w:lineRule="auto"/>
    </w:pPr>
    <w:rPr>
      <w:rFonts w:ascii="Calibri" w:eastAsia="Calibri" w:hAnsi="Calibri" w:cs="Times New Roman"/>
    </w:rPr>
  </w:style>
  <w:style w:type="paragraph" w:styleId="Prrafodelista">
    <w:name w:val="List Paragraph"/>
    <w:basedOn w:val="Normal"/>
    <w:uiPriority w:val="34"/>
    <w:qFormat/>
    <w:rsid w:val="00D820E8"/>
    <w:pPr>
      <w:ind w:left="720"/>
      <w:contextualSpacing/>
    </w:pPr>
  </w:style>
  <w:style w:type="character" w:customStyle="1" w:styleId="apple-converted-space">
    <w:name w:val="apple-converted-space"/>
    <w:basedOn w:val="Fuentedeprrafopredeter"/>
    <w:rsid w:val="00D820E8"/>
  </w:style>
  <w:style w:type="character" w:styleId="Hipervnculo">
    <w:name w:val="Hyperlink"/>
    <w:basedOn w:val="Fuentedeprrafopredeter"/>
    <w:uiPriority w:val="99"/>
    <w:unhideWhenUsed/>
    <w:rsid w:val="00D820E8"/>
    <w:rPr>
      <w:color w:val="0563C1" w:themeColor="hyperlink"/>
      <w:u w:val="single"/>
    </w:rPr>
  </w:style>
  <w:style w:type="paragraph" w:styleId="NormalWeb">
    <w:name w:val="Normal (Web)"/>
    <w:basedOn w:val="Normal"/>
    <w:uiPriority w:val="99"/>
    <w:unhideWhenUsed/>
    <w:rsid w:val="00D820E8"/>
    <w:pPr>
      <w:spacing w:before="100" w:beforeAutospacing="1" w:after="100" w:afterAutospacing="1"/>
    </w:pPr>
    <w:rPr>
      <w:rFonts w:eastAsia="Times New Roman"/>
      <w:lang w:eastAsia="es-CO"/>
    </w:rPr>
  </w:style>
  <w:style w:type="paragraph" w:styleId="Textoindependiente">
    <w:name w:val="Body Text"/>
    <w:basedOn w:val="Normal"/>
    <w:link w:val="TextoindependienteCar"/>
    <w:rsid w:val="00D820E8"/>
    <w:pPr>
      <w:spacing w:after="240" w:line="360" w:lineRule="auto"/>
      <w:jc w:val="center"/>
    </w:pPr>
    <w:rPr>
      <w:rFonts w:ascii="Bookman Old Style" w:eastAsia="Times New Roman" w:hAnsi="Bookman Old Style"/>
      <w:b/>
      <w:bCs/>
      <w:lang w:val="es-ES" w:eastAsia="es-ES"/>
    </w:rPr>
  </w:style>
  <w:style w:type="character" w:customStyle="1" w:styleId="TextoindependienteCar">
    <w:name w:val="Texto independiente Car"/>
    <w:basedOn w:val="Fuentedeprrafopredeter"/>
    <w:link w:val="Textoindependiente"/>
    <w:rsid w:val="00D820E8"/>
    <w:rPr>
      <w:rFonts w:ascii="Bookman Old Style" w:eastAsia="Times New Roman" w:hAnsi="Bookman Old Style" w:cs="Times New Roman"/>
      <w:b/>
      <w:bCs/>
      <w:sz w:val="24"/>
      <w:szCs w:val="24"/>
      <w:lang w:val="es-ES" w:eastAsia="es-ES"/>
    </w:rPr>
  </w:style>
  <w:style w:type="paragraph" w:styleId="Textonotapie">
    <w:name w:val="footnote text"/>
    <w:basedOn w:val="Normal"/>
    <w:link w:val="TextonotapieCar"/>
    <w:uiPriority w:val="99"/>
    <w:rsid w:val="00D820E8"/>
    <w:pPr>
      <w:spacing w:after="240"/>
    </w:pPr>
    <w:rPr>
      <w:rFonts w:ascii="Arial" w:eastAsia="Times New Roman" w:hAnsi="Arial"/>
      <w:sz w:val="20"/>
      <w:szCs w:val="20"/>
      <w:lang w:val="es-ES" w:eastAsia="es-ES"/>
    </w:rPr>
  </w:style>
  <w:style w:type="character" w:customStyle="1" w:styleId="TextonotapieCar">
    <w:name w:val="Texto nota pie Car"/>
    <w:basedOn w:val="Fuentedeprrafopredeter"/>
    <w:link w:val="Textonotapie"/>
    <w:uiPriority w:val="99"/>
    <w:rsid w:val="00D820E8"/>
    <w:rPr>
      <w:rFonts w:ascii="Arial" w:eastAsia="Times New Roman" w:hAnsi="Arial" w:cs="Times New Roman"/>
      <w:sz w:val="20"/>
      <w:szCs w:val="20"/>
      <w:lang w:val="es-ES" w:eastAsia="es-ES"/>
    </w:rPr>
  </w:style>
  <w:style w:type="character" w:styleId="Refdenotaalpie">
    <w:name w:val="footnote reference"/>
    <w:basedOn w:val="Fuentedeprrafopredeter"/>
    <w:semiHidden/>
    <w:rsid w:val="00D820E8"/>
    <w:rPr>
      <w:vertAlign w:val="superscript"/>
    </w:rPr>
  </w:style>
  <w:style w:type="character" w:customStyle="1" w:styleId="Ttulo3Car">
    <w:name w:val="Título 3 Car"/>
    <w:basedOn w:val="Fuentedeprrafopredeter"/>
    <w:link w:val="Ttulo3"/>
    <w:uiPriority w:val="9"/>
    <w:semiHidden/>
    <w:rsid w:val="00817187"/>
    <w:rPr>
      <w:rFonts w:asciiTheme="majorHAnsi" w:eastAsiaTheme="majorEastAsia" w:hAnsiTheme="majorHAnsi" w:cstheme="majorBidi"/>
      <w:b/>
      <w:bCs/>
      <w:color w:val="5B9BD5" w:themeColor="accent1"/>
    </w:rPr>
  </w:style>
  <w:style w:type="paragraph" w:customStyle="1" w:styleId="Prrafodelista1">
    <w:name w:val="Párrafo de lista1"/>
    <w:basedOn w:val="Normal"/>
    <w:rsid w:val="00A24277"/>
    <w:pPr>
      <w:suppressAutoHyphens/>
      <w:autoSpaceDN w:val="0"/>
      <w:spacing w:line="254" w:lineRule="auto"/>
      <w:ind w:left="720"/>
      <w:textAlignment w:val="baseline"/>
    </w:pPr>
    <w:rPr>
      <w:rFonts w:ascii="Calibri" w:eastAsia="Calibri" w:hAnsi="Calibri"/>
    </w:rPr>
  </w:style>
  <w:style w:type="paragraph" w:customStyle="1" w:styleId="Default">
    <w:name w:val="Default"/>
    <w:rsid w:val="00A6177D"/>
    <w:pPr>
      <w:autoSpaceDE w:val="0"/>
      <w:autoSpaceDN w:val="0"/>
      <w:adjustRightInd w:val="0"/>
      <w:spacing w:after="0" w:line="240" w:lineRule="auto"/>
    </w:pPr>
    <w:rPr>
      <w:rFonts w:ascii="Calibri" w:hAnsi="Calibri" w:cs="Calibri"/>
      <w:color w:val="000000"/>
      <w:sz w:val="24"/>
      <w:szCs w:val="24"/>
    </w:rPr>
  </w:style>
  <w:style w:type="table" w:styleId="Tablaconcuadrcula">
    <w:name w:val="Table Grid"/>
    <w:basedOn w:val="Tablanormal"/>
    <w:uiPriority w:val="59"/>
    <w:rsid w:val="0070549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m6045842028844198226gmail-default">
    <w:name w:val="m_6045842028844198226gmail-default"/>
    <w:basedOn w:val="Normal"/>
    <w:rsid w:val="0010094B"/>
    <w:pPr>
      <w:spacing w:before="100" w:beforeAutospacing="1" w:after="100" w:afterAutospacing="1"/>
    </w:pPr>
  </w:style>
  <w:style w:type="paragraph" w:customStyle="1" w:styleId="xgmail-default">
    <w:name w:val="x_gmail-default"/>
    <w:basedOn w:val="Normal"/>
    <w:rsid w:val="0028342F"/>
    <w:pPr>
      <w:spacing w:before="100" w:beforeAutospacing="1" w:after="100" w:afterAutospacing="1"/>
    </w:pPr>
    <w:rPr>
      <w:rFonts w:eastAsia="Times New Roman"/>
      <w:lang w:eastAsia="es-CO"/>
    </w:rPr>
  </w:style>
  <w:style w:type="character" w:styleId="Hipervnculovisitado">
    <w:name w:val="FollowedHyperlink"/>
    <w:basedOn w:val="Fuentedeprrafopredeter"/>
    <w:uiPriority w:val="99"/>
    <w:semiHidden/>
    <w:unhideWhenUsed/>
    <w:rsid w:val="00883B2B"/>
    <w:rPr>
      <w:color w:val="954F72" w:themeColor="followedHyperlink"/>
      <w:u w:val="single"/>
    </w:rPr>
  </w:style>
  <w:style w:type="table" w:customStyle="1" w:styleId="TableNormal">
    <w:name w:val="Table Normal"/>
    <w:uiPriority w:val="2"/>
    <w:semiHidden/>
    <w:unhideWhenUsed/>
    <w:qFormat/>
    <w:rsid w:val="00DC19A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C19AB"/>
    <w:pPr>
      <w:widowControl w:val="0"/>
      <w:autoSpaceDE w:val="0"/>
      <w:autoSpaceDN w:val="0"/>
    </w:pPr>
    <w:rPr>
      <w:rFonts w:ascii="Cambria" w:eastAsia="Cambria" w:hAnsi="Cambria" w:cs="Cambria"/>
      <w:sz w:val="22"/>
      <w:szCs w:val="22"/>
      <w:lang w:val="es-CO" w:eastAsia="en-US"/>
    </w:rPr>
  </w:style>
  <w:style w:type="paragraph" w:customStyle="1" w:styleId="Prrafodelista2">
    <w:name w:val="Párrafo de lista2"/>
    <w:basedOn w:val="Normal"/>
    <w:rsid w:val="00707D6C"/>
    <w:pPr>
      <w:spacing w:after="200" w:line="276" w:lineRule="auto"/>
      <w:ind w:left="720"/>
    </w:pPr>
    <w:rPr>
      <w:rFonts w:ascii="Calibri" w:eastAsia="Times New Roman" w:hAnsi="Calibri"/>
      <w:sz w:val="22"/>
      <w:szCs w:val="22"/>
      <w:lang w:val="es-ES" w:eastAsia="en-US"/>
    </w:rPr>
  </w:style>
  <w:style w:type="paragraph" w:styleId="Textodeglobo">
    <w:name w:val="Balloon Text"/>
    <w:basedOn w:val="Normal"/>
    <w:link w:val="TextodegloboCar"/>
    <w:uiPriority w:val="99"/>
    <w:semiHidden/>
    <w:unhideWhenUsed/>
    <w:rsid w:val="00FB3050"/>
    <w:rPr>
      <w:rFonts w:ascii="Tahoma" w:hAnsi="Tahoma" w:cs="Tahoma"/>
      <w:sz w:val="16"/>
      <w:szCs w:val="16"/>
    </w:rPr>
  </w:style>
  <w:style w:type="character" w:customStyle="1" w:styleId="TextodegloboCar">
    <w:name w:val="Texto de globo Car"/>
    <w:basedOn w:val="Fuentedeprrafopredeter"/>
    <w:link w:val="Textodeglobo"/>
    <w:uiPriority w:val="99"/>
    <w:semiHidden/>
    <w:rsid w:val="00FB3050"/>
    <w:rPr>
      <w:rFonts w:ascii="Tahoma" w:hAnsi="Tahoma" w:cs="Tahoma"/>
      <w:sz w:val="16"/>
      <w:szCs w:val="16"/>
      <w:lang w:val="es-ES_tradnl" w:eastAsia="es-ES_tradnl"/>
    </w:rPr>
  </w:style>
  <w:style w:type="character" w:customStyle="1" w:styleId="ref-journal">
    <w:name w:val="ref-journal"/>
    <w:basedOn w:val="Fuentedeprrafopredeter"/>
    <w:rsid w:val="00C00334"/>
  </w:style>
  <w:style w:type="character" w:customStyle="1" w:styleId="ref-vol">
    <w:name w:val="ref-vol"/>
    <w:basedOn w:val="Fuentedeprrafopredeter"/>
    <w:rsid w:val="00C00334"/>
  </w:style>
  <w:style w:type="paragraph" w:styleId="Textocomentario">
    <w:name w:val="annotation text"/>
    <w:basedOn w:val="Normal"/>
    <w:link w:val="TextocomentarioCar"/>
    <w:uiPriority w:val="99"/>
    <w:unhideWhenUsed/>
    <w:rsid w:val="00C00334"/>
    <w:pPr>
      <w:ind w:right="-284"/>
      <w:jc w:val="both"/>
    </w:pPr>
    <w:rPr>
      <w:rFonts w:asciiTheme="minorHAnsi" w:hAnsiTheme="minorHAnsi" w:cstheme="minorBidi"/>
      <w:sz w:val="20"/>
      <w:szCs w:val="20"/>
      <w:lang w:val="es-CO" w:eastAsia="en-US"/>
    </w:rPr>
  </w:style>
  <w:style w:type="character" w:customStyle="1" w:styleId="TextocomentarioCar">
    <w:name w:val="Texto comentario Car"/>
    <w:basedOn w:val="Fuentedeprrafopredeter"/>
    <w:link w:val="Textocomentario"/>
    <w:uiPriority w:val="99"/>
    <w:rsid w:val="00C00334"/>
    <w:rPr>
      <w:sz w:val="20"/>
      <w:szCs w:val="20"/>
    </w:rPr>
  </w:style>
  <w:style w:type="paragraph" w:customStyle="1" w:styleId="ref">
    <w:name w:val="ref"/>
    <w:basedOn w:val="Normal"/>
    <w:rsid w:val="00C33B1B"/>
    <w:pPr>
      <w:spacing w:before="100" w:beforeAutospacing="1" w:after="100" w:afterAutospacing="1"/>
    </w:pPr>
    <w:rPr>
      <w:rFonts w:eastAsia="Times New Roman"/>
      <w:lang w:val="es-ES" w:eastAsia="es-ES"/>
    </w:rPr>
  </w:style>
  <w:style w:type="character" w:styleId="nfasis">
    <w:name w:val="Emphasis"/>
    <w:qFormat/>
    <w:rsid w:val="00C33B1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538552">
      <w:bodyDiv w:val="1"/>
      <w:marLeft w:val="0"/>
      <w:marRight w:val="0"/>
      <w:marTop w:val="0"/>
      <w:marBottom w:val="0"/>
      <w:divBdr>
        <w:top w:val="none" w:sz="0" w:space="0" w:color="auto"/>
        <w:left w:val="none" w:sz="0" w:space="0" w:color="auto"/>
        <w:bottom w:val="none" w:sz="0" w:space="0" w:color="auto"/>
        <w:right w:val="none" w:sz="0" w:space="0" w:color="auto"/>
      </w:divBdr>
      <w:divsChild>
        <w:div w:id="918829737">
          <w:marLeft w:val="547"/>
          <w:marRight w:val="0"/>
          <w:marTop w:val="0"/>
          <w:marBottom w:val="0"/>
          <w:divBdr>
            <w:top w:val="none" w:sz="0" w:space="0" w:color="auto"/>
            <w:left w:val="none" w:sz="0" w:space="0" w:color="auto"/>
            <w:bottom w:val="none" w:sz="0" w:space="0" w:color="auto"/>
            <w:right w:val="none" w:sz="0" w:space="0" w:color="auto"/>
          </w:divBdr>
        </w:div>
      </w:divsChild>
    </w:div>
    <w:div w:id="660080930">
      <w:bodyDiv w:val="1"/>
      <w:marLeft w:val="0"/>
      <w:marRight w:val="0"/>
      <w:marTop w:val="0"/>
      <w:marBottom w:val="0"/>
      <w:divBdr>
        <w:top w:val="none" w:sz="0" w:space="0" w:color="auto"/>
        <w:left w:val="none" w:sz="0" w:space="0" w:color="auto"/>
        <w:bottom w:val="none" w:sz="0" w:space="0" w:color="auto"/>
        <w:right w:val="none" w:sz="0" w:space="0" w:color="auto"/>
      </w:divBdr>
    </w:div>
    <w:div w:id="716397752">
      <w:bodyDiv w:val="1"/>
      <w:marLeft w:val="0"/>
      <w:marRight w:val="0"/>
      <w:marTop w:val="0"/>
      <w:marBottom w:val="0"/>
      <w:divBdr>
        <w:top w:val="none" w:sz="0" w:space="0" w:color="auto"/>
        <w:left w:val="none" w:sz="0" w:space="0" w:color="auto"/>
        <w:bottom w:val="none" w:sz="0" w:space="0" w:color="auto"/>
        <w:right w:val="none" w:sz="0" w:space="0" w:color="auto"/>
      </w:divBdr>
      <w:divsChild>
        <w:div w:id="1557355477">
          <w:marLeft w:val="547"/>
          <w:marRight w:val="0"/>
          <w:marTop w:val="0"/>
          <w:marBottom w:val="0"/>
          <w:divBdr>
            <w:top w:val="none" w:sz="0" w:space="0" w:color="auto"/>
            <w:left w:val="none" w:sz="0" w:space="0" w:color="auto"/>
            <w:bottom w:val="none" w:sz="0" w:space="0" w:color="auto"/>
            <w:right w:val="none" w:sz="0" w:space="0" w:color="auto"/>
          </w:divBdr>
        </w:div>
      </w:divsChild>
    </w:div>
    <w:div w:id="873619851">
      <w:bodyDiv w:val="1"/>
      <w:marLeft w:val="0"/>
      <w:marRight w:val="0"/>
      <w:marTop w:val="0"/>
      <w:marBottom w:val="0"/>
      <w:divBdr>
        <w:top w:val="none" w:sz="0" w:space="0" w:color="auto"/>
        <w:left w:val="none" w:sz="0" w:space="0" w:color="auto"/>
        <w:bottom w:val="none" w:sz="0" w:space="0" w:color="auto"/>
        <w:right w:val="none" w:sz="0" w:space="0" w:color="auto"/>
      </w:divBdr>
      <w:divsChild>
        <w:div w:id="1004936585">
          <w:marLeft w:val="547"/>
          <w:marRight w:val="0"/>
          <w:marTop w:val="0"/>
          <w:marBottom w:val="0"/>
          <w:divBdr>
            <w:top w:val="none" w:sz="0" w:space="0" w:color="auto"/>
            <w:left w:val="none" w:sz="0" w:space="0" w:color="auto"/>
            <w:bottom w:val="none" w:sz="0" w:space="0" w:color="auto"/>
            <w:right w:val="none" w:sz="0" w:space="0" w:color="auto"/>
          </w:divBdr>
        </w:div>
      </w:divsChild>
    </w:div>
    <w:div w:id="903373023">
      <w:bodyDiv w:val="1"/>
      <w:marLeft w:val="0"/>
      <w:marRight w:val="0"/>
      <w:marTop w:val="0"/>
      <w:marBottom w:val="0"/>
      <w:divBdr>
        <w:top w:val="none" w:sz="0" w:space="0" w:color="auto"/>
        <w:left w:val="none" w:sz="0" w:space="0" w:color="auto"/>
        <w:bottom w:val="none" w:sz="0" w:space="0" w:color="auto"/>
        <w:right w:val="none" w:sz="0" w:space="0" w:color="auto"/>
      </w:divBdr>
      <w:divsChild>
        <w:div w:id="1039665424">
          <w:marLeft w:val="547"/>
          <w:marRight w:val="0"/>
          <w:marTop w:val="0"/>
          <w:marBottom w:val="0"/>
          <w:divBdr>
            <w:top w:val="none" w:sz="0" w:space="0" w:color="auto"/>
            <w:left w:val="none" w:sz="0" w:space="0" w:color="auto"/>
            <w:bottom w:val="none" w:sz="0" w:space="0" w:color="auto"/>
            <w:right w:val="none" w:sz="0" w:space="0" w:color="auto"/>
          </w:divBdr>
        </w:div>
      </w:divsChild>
    </w:div>
    <w:div w:id="970134166">
      <w:bodyDiv w:val="1"/>
      <w:marLeft w:val="0"/>
      <w:marRight w:val="0"/>
      <w:marTop w:val="0"/>
      <w:marBottom w:val="0"/>
      <w:divBdr>
        <w:top w:val="none" w:sz="0" w:space="0" w:color="auto"/>
        <w:left w:val="none" w:sz="0" w:space="0" w:color="auto"/>
        <w:bottom w:val="none" w:sz="0" w:space="0" w:color="auto"/>
        <w:right w:val="none" w:sz="0" w:space="0" w:color="auto"/>
      </w:divBdr>
      <w:divsChild>
        <w:div w:id="1439132296">
          <w:marLeft w:val="0"/>
          <w:marRight w:val="0"/>
          <w:marTop w:val="0"/>
          <w:marBottom w:val="0"/>
          <w:divBdr>
            <w:top w:val="none" w:sz="0" w:space="0" w:color="auto"/>
            <w:left w:val="none" w:sz="0" w:space="0" w:color="auto"/>
            <w:bottom w:val="none" w:sz="0" w:space="0" w:color="auto"/>
            <w:right w:val="none" w:sz="0" w:space="0" w:color="auto"/>
          </w:divBdr>
        </w:div>
        <w:div w:id="3945893">
          <w:marLeft w:val="0"/>
          <w:marRight w:val="0"/>
          <w:marTop w:val="0"/>
          <w:marBottom w:val="0"/>
          <w:divBdr>
            <w:top w:val="none" w:sz="0" w:space="0" w:color="auto"/>
            <w:left w:val="none" w:sz="0" w:space="0" w:color="auto"/>
            <w:bottom w:val="none" w:sz="0" w:space="0" w:color="auto"/>
            <w:right w:val="none" w:sz="0" w:space="0" w:color="auto"/>
          </w:divBdr>
        </w:div>
        <w:div w:id="1603220138">
          <w:marLeft w:val="0"/>
          <w:marRight w:val="0"/>
          <w:marTop w:val="0"/>
          <w:marBottom w:val="0"/>
          <w:divBdr>
            <w:top w:val="none" w:sz="0" w:space="0" w:color="auto"/>
            <w:left w:val="none" w:sz="0" w:space="0" w:color="auto"/>
            <w:bottom w:val="none" w:sz="0" w:space="0" w:color="auto"/>
            <w:right w:val="none" w:sz="0" w:space="0" w:color="auto"/>
          </w:divBdr>
          <w:divsChild>
            <w:div w:id="120811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471711">
      <w:bodyDiv w:val="1"/>
      <w:marLeft w:val="0"/>
      <w:marRight w:val="0"/>
      <w:marTop w:val="0"/>
      <w:marBottom w:val="0"/>
      <w:divBdr>
        <w:top w:val="none" w:sz="0" w:space="0" w:color="auto"/>
        <w:left w:val="none" w:sz="0" w:space="0" w:color="auto"/>
        <w:bottom w:val="none" w:sz="0" w:space="0" w:color="auto"/>
        <w:right w:val="none" w:sz="0" w:space="0" w:color="auto"/>
      </w:divBdr>
    </w:div>
    <w:div w:id="1274482786">
      <w:bodyDiv w:val="1"/>
      <w:marLeft w:val="0"/>
      <w:marRight w:val="0"/>
      <w:marTop w:val="0"/>
      <w:marBottom w:val="0"/>
      <w:divBdr>
        <w:top w:val="none" w:sz="0" w:space="0" w:color="auto"/>
        <w:left w:val="none" w:sz="0" w:space="0" w:color="auto"/>
        <w:bottom w:val="none" w:sz="0" w:space="0" w:color="auto"/>
        <w:right w:val="none" w:sz="0" w:space="0" w:color="auto"/>
      </w:divBdr>
    </w:div>
    <w:div w:id="1427070758">
      <w:bodyDiv w:val="1"/>
      <w:marLeft w:val="0"/>
      <w:marRight w:val="0"/>
      <w:marTop w:val="0"/>
      <w:marBottom w:val="0"/>
      <w:divBdr>
        <w:top w:val="none" w:sz="0" w:space="0" w:color="auto"/>
        <w:left w:val="none" w:sz="0" w:space="0" w:color="auto"/>
        <w:bottom w:val="none" w:sz="0" w:space="0" w:color="auto"/>
        <w:right w:val="none" w:sz="0" w:space="0" w:color="auto"/>
      </w:divBdr>
    </w:div>
    <w:div w:id="1712418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0D9D81E-FA9F-49BC-8108-BEACBF051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1317</Words>
  <Characters>7248</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YANETH HERAZO</dc:creator>
  <cp:lastModifiedBy>Yudith Contreras</cp:lastModifiedBy>
  <cp:revision>11</cp:revision>
  <cp:lastPrinted>2018-12-05T03:17:00Z</cp:lastPrinted>
  <dcterms:created xsi:type="dcterms:W3CDTF">2020-06-02T01:16:00Z</dcterms:created>
  <dcterms:modified xsi:type="dcterms:W3CDTF">2020-06-19T04:29:00Z</dcterms:modified>
</cp:coreProperties>
</file>